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Ръководството на Сдружение с нестопанска цел „Сдружение за изследвания и иновации в медицината - Леонардо да Винчи“ (СИИМ) – партньор по проект BG16RFPR002-1.014-0002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„Център за компетентност по персонализирана медицина, 3Д и  телемедицина, роботизирана и минимално инвазивна хирургия“, финансиран от Програма „Научни изследвания, иновации и дигитализация за интелигентна трансформация“, съфинансирано от Европейския съюз, и Ръководството на проекта, в изпълнение на нормативно изискване от административен договор по проекта, относно необходимостта да се извърши подбор чрез провеждане на открити конкурси и сключване на трудови договори за определени длъжности в СИИМ на проекта с лица, които не са били предмет на извършени предварителни оценки в проектното предложение,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shd w:fill="ffffff" w:val="clear"/>
        <w:spacing w:line="276" w:lineRule="auto"/>
        <w:ind w:firstLine="567"/>
        <w:jc w:val="center"/>
        <w:rPr>
          <w:b w:val="1"/>
          <w:bCs w:val="1"/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shd w:fill="ffffff" w:val="clear"/>
        <w:spacing w:line="276" w:lineRule="auto"/>
        <w:ind w:firstLine="567"/>
        <w:jc w:val="center"/>
        <w:rPr>
          <w:b w:val="1"/>
          <w:bCs w:val="1"/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shd w:fill="ffffff" w:val="clear"/>
        <w:spacing w:line="276" w:lineRule="auto"/>
        <w:ind w:firstLine="567"/>
        <w:jc w:val="center"/>
        <w:rPr>
          <w:b w:val="1"/>
          <w:bCs w:val="1"/>
          <w:color w:val="414141"/>
          <w:sz w:val="24"/>
          <w:szCs w:val="24"/>
        </w:rPr>
      </w:pPr>
      <w:r w:rsidDel="00000000" w:rsidR="00000000" w:rsidRPr="00000000">
        <w:rPr>
          <w:b w:val="1"/>
          <w:bCs w:val="1"/>
          <w:color w:val="414141"/>
          <w:sz w:val="24"/>
          <w:szCs w:val="24"/>
          <w:rtl w:val="0"/>
        </w:rPr>
        <w:t xml:space="preserve">ОБЯВЯВА КОНКУРС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shd w:fill="ffffff" w:val="clear"/>
        <w:spacing w:line="276" w:lineRule="auto"/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spacing w:line="276" w:lineRule="auto"/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за назначаване на</w:t>
      </w:r>
      <w:r w:rsidDel="00000000" w:rsidR="00000000" w:rsidRPr="00000000">
        <w:rPr>
          <w:color w:val="414141"/>
          <w:sz w:val="24"/>
          <w:szCs w:val="24"/>
          <w:shd w:fill="auto" w:val="clear"/>
          <w:rtl w:val="0"/>
        </w:rPr>
        <w:t xml:space="preserve"> екип от иновативен персонал в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 основен партньор по проекта „Сдружение за изследвания и иновации в медицината - Леонардо да Винчи“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spacing w:line="276" w:lineRule="auto"/>
        <w:ind w:firstLine="567"/>
        <w:jc w:val="center"/>
        <w:rPr>
          <w:color w:val="414141"/>
          <w:sz w:val="24"/>
          <w:szCs w:val="24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за длъжността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spacing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14141"/>
          <w:sz w:val="24"/>
          <w:szCs w:val="24"/>
          <w:rtl w:val="0"/>
        </w:rPr>
        <w:t xml:space="preserve">„Експерт Бизнес развитие”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spacing w:line="276" w:lineRule="auto"/>
        <w:ind w:firstLine="56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Кратко описание на длъжността: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shd w:fill="f9f9f9" w:val="clear"/>
        <w:tabs>
          <w:tab w:val="left" w:leader="none" w:pos="898.0000000000001"/>
        </w:tabs>
        <w:spacing w:after="0" w:line="276" w:lineRule="auto"/>
        <w:jc w:val="both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ab/>
        <w:t xml:space="preserve">1.1. </w:t>
      </w:r>
      <w:r w:rsidDel="00000000" w:rsidR="00000000" w:rsidRPr="00000000">
        <w:rPr>
          <w:sz w:val="24"/>
          <w:szCs w:val="24"/>
          <w:rtl w:val="0"/>
        </w:rPr>
        <w:t xml:space="preserve">Подпомага изграждането на бизнес и пазарна стратегия на Център за компетентност “Леонардо да Винчи” (ЦК)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; </w:t>
        <w:tab/>
      </w:r>
    </w:p>
    <w:p w:rsidR="00000000" w:rsidDel="00000000" w:rsidP="00000000" w:rsidRDefault="00000000" w:rsidRPr="00000000" w14:paraId="0000000C">
      <w:pPr>
        <w:keepLines w:val="1"/>
        <w:shd w:fill="f9f9f9" w:val="clear"/>
        <w:tabs>
          <w:tab w:val="left" w:leader="none" w:pos="993"/>
        </w:tabs>
        <w:spacing w:line="276" w:lineRule="auto"/>
        <w:ind w:left="928" w:firstLine="0"/>
        <w:jc w:val="both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1.2. Изготвя пазарни анализи, касаещи дейностите на ЦК ;</w:t>
      </w:r>
    </w:p>
    <w:p w:rsidR="00000000" w:rsidDel="00000000" w:rsidP="00000000" w:rsidRDefault="00000000" w:rsidRPr="00000000" w14:paraId="0000000D">
      <w:pPr>
        <w:shd w:fill="f9f9f9" w:val="clear"/>
        <w:tabs>
          <w:tab w:val="left" w:leader="none" w:pos="993"/>
        </w:tabs>
        <w:spacing w:line="276" w:lineRule="auto"/>
        <w:ind w:left="928" w:firstLine="0"/>
        <w:jc w:val="both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1.3. Изготвя калкулация на себестойността на услугите на ЦК;</w:t>
      </w:r>
    </w:p>
    <w:p w:rsidR="00000000" w:rsidDel="00000000" w:rsidP="00000000" w:rsidRDefault="00000000" w:rsidRPr="00000000" w14:paraId="0000000E">
      <w:pPr>
        <w:shd w:fill="f9f9f9" w:val="clear"/>
        <w:tabs>
          <w:tab w:val="left" w:leader="none" w:pos="993"/>
        </w:tabs>
        <w:spacing w:line="276" w:lineRule="auto"/>
        <w:ind w:left="928" w:firstLine="0"/>
        <w:jc w:val="both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sz w:val="24"/>
          <w:szCs w:val="24"/>
          <w:rtl w:val="0"/>
        </w:rPr>
        <w:t xml:space="preserve">1.4. Изготвя ценовите листи на ЦК;</w:t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93"/>
        </w:tabs>
        <w:spacing w:line="276" w:lineRule="auto"/>
        <w:ind w:left="928" w:firstLine="0"/>
        <w:jc w:val="both"/>
        <w:rPr>
          <w:sz w:val="24"/>
          <w:szCs w:val="24"/>
        </w:rPr>
      </w:pPr>
      <w:bookmarkStart w:colFirst="0" w:colLast="0" w:name="_heading=h.z19soqsd2tvf" w:id="0"/>
      <w:bookmarkEnd w:id="0"/>
      <w:r w:rsidDel="00000000" w:rsidR="00000000" w:rsidRPr="00000000">
        <w:rPr>
          <w:sz w:val="24"/>
          <w:szCs w:val="24"/>
          <w:rtl w:val="0"/>
        </w:rPr>
        <w:t xml:space="preserve">1.5. Подпомага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изграждането и въвеждането на политики, процедури и процеси в ЦК с цел комерсиализация на дейностите на ЦК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93"/>
        </w:tabs>
        <w:spacing w:line="276" w:lineRule="auto"/>
        <w:ind w:left="928" w:firstLine="0"/>
        <w:jc w:val="both"/>
        <w:rPr>
          <w:color w:val="242424"/>
          <w:sz w:val="24"/>
          <w:szCs w:val="24"/>
        </w:rPr>
      </w:pPr>
      <w:bookmarkStart w:colFirst="0" w:colLast="0" w:name="_heading=h.d5tymw72gplu" w:id="1"/>
      <w:bookmarkEnd w:id="1"/>
      <w:r w:rsidDel="00000000" w:rsidR="00000000" w:rsidRPr="00000000">
        <w:rPr>
          <w:sz w:val="24"/>
          <w:szCs w:val="24"/>
          <w:rtl w:val="0"/>
        </w:rPr>
        <w:t xml:space="preserve">1.6. 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Подпомага сключването на договори с клиенти на ЦК;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93"/>
        </w:tabs>
        <w:spacing w:line="276" w:lineRule="auto"/>
        <w:ind w:left="928" w:firstLine="0"/>
        <w:jc w:val="both"/>
        <w:rPr>
          <w:color w:val="242424"/>
          <w:sz w:val="24"/>
          <w:szCs w:val="24"/>
        </w:rPr>
      </w:pPr>
      <w:bookmarkStart w:colFirst="0" w:colLast="0" w:name="_heading=h.36n8uc8cika4" w:id="2"/>
      <w:bookmarkEnd w:id="2"/>
      <w:r w:rsidDel="00000000" w:rsidR="00000000" w:rsidRPr="00000000">
        <w:rPr>
          <w:color w:val="242424"/>
          <w:sz w:val="24"/>
          <w:szCs w:val="24"/>
          <w:rtl w:val="0"/>
        </w:rPr>
        <w:t xml:space="preserve">1.7. Подпомага проследяването на бюджета, приходите и разходите на ЦК.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856" w:right="0" w:hanging="256"/>
        <w:jc w:val="both"/>
        <w:rPr>
          <w:sz w:val="24"/>
          <w:szCs w:val="24"/>
        </w:rPr>
      </w:pPr>
      <w:bookmarkStart w:colFirst="0" w:colLast="0" w:name="_heading=h.2b2j513nsg1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Заетост: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пълен работен ден -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часа на ден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Минимални изисквания за заемане на длъжността: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 Образование – Висше;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Образователно-квалификационна степен – „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Магистър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”;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Област на висше образование “Социални, стопански и правни науки”, “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Хуманитарни науки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color w:val="414141"/>
          <w:sz w:val="24"/>
          <w:szCs w:val="24"/>
          <w:u w:val="none"/>
        </w:rPr>
      </w:pPr>
      <w:r w:rsidDel="00000000" w:rsidR="00000000" w:rsidRPr="00000000">
        <w:rPr>
          <w:color w:val="414141"/>
          <w:sz w:val="24"/>
          <w:szCs w:val="24"/>
          <w:rtl w:val="0"/>
        </w:rPr>
        <w:t xml:space="preserve">Професионален опит - минимум 5 години стаж; управленски опит ще се счита за предимство.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85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Конкурсът с допуснатите кандидати ще се проведе на два етапа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Проверка на подадените от кандидатите документи;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Интервю с кандидатите, допуснати за участие в конкурса.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Необходими документи за участие в конкурсната процедура: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Заявление по образец;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Автобиография (CV);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Копие от документи за придобити образователни степени и допълнителна професионална квалификация и/или специализации (ако има такива);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Документ за самоличност – необходим само за идентификация и справка.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Място и срок за подаване на документите за участие в конкурса: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Документите за участие в конкурса се представят в: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 пет работни дни,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считани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от публикуване на обявлението в сайта на ЦК, във времето от 8:00 часа до 12:30 ч. и от 13:00 ч. до 16:30 ч., на адрес: гр. Плевен, Офис на проекта, ул. “Климент Охридски“ №1, Ректорат, етаж 2, стая №208, лично от кандидатите или техни упълномощени представители.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Краен срок за подаване на документите: </w:t>
      </w:r>
      <w:r w:rsidDel="00000000" w:rsidR="00000000" w:rsidRPr="00000000">
        <w:rPr>
          <w:b w:val="1"/>
          <w:bCs w:val="1"/>
          <w:color w:val="414141"/>
          <w:sz w:val="24"/>
          <w:szCs w:val="24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color w:val="414141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.2025 г.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Допълнителна информация и уточнения във връзка с изискванията за провеждането на конкурсната процедура може да се получат на телефон 0</w:t>
      </w:r>
      <w:r w:rsidDel="00000000" w:rsidR="00000000" w:rsidRPr="00000000">
        <w:rPr>
          <w:color w:val="414141"/>
          <w:sz w:val="24"/>
          <w:szCs w:val="24"/>
          <w:rtl w:val="0"/>
        </w:rPr>
        <w:t xml:space="preserve">988 767030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spacing w:line="276" w:lineRule="auto"/>
        <w:ind w:firstLine="567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567" w:top="709" w:left="1247" w:right="851" w:header="568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www.eufunds.bg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––––––––––––––––––––––––––––––––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153"/>
        <w:tab w:val="right" w:leader="none" w:pos="8306"/>
      </w:tabs>
      <w:jc w:val="center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153"/>
        <w:tab w:val="right" w:leader="none" w:pos="8306"/>
        <w:tab w:val="right" w:leader="none" w:pos="9638"/>
      </w:tabs>
      <w:jc w:val="center"/>
      <w:rPr>
        <w:i w:val="1"/>
        <w:iCs w:val="1"/>
      </w:rPr>
    </w:pPr>
    <w:r w:rsidDel="00000000" w:rsidR="00000000" w:rsidRPr="00000000">
      <w:rPr>
        <w:rtl w:val="0"/>
      </w:rPr>
      <w:t xml:space="preserve">–––––––––––––––––––––––––––––––––––––––</w:t>
    </w:r>
    <w:r w:rsidDel="00000000" w:rsidR="00000000" w:rsidRPr="00000000">
      <w:rPr>
        <w:i w:val="1"/>
        <w:iCs w:val="1"/>
        <w:rtl w:val="0"/>
      </w:rPr>
      <w:t xml:space="preserve"> </w:t>
    </w:r>
    <w:hyperlink r:id="rId1">
      <w:r w:rsidDel="00000000" w:rsidR="00000000" w:rsidRPr="00000000">
        <w:rPr>
          <w:i w:val="1"/>
          <w:iCs w:val="1"/>
          <w:color w:val="0000ff"/>
          <w:sz w:val="22"/>
          <w:szCs w:val="22"/>
          <w:rtl w:val="0"/>
        </w:rPr>
        <w:t xml:space="preserve">www.eufunds.bg</w:t>
      </w:r>
    </w:hyperlink>
    <w:r w:rsidDel="00000000" w:rsidR="00000000" w:rsidRPr="00000000">
      <w:rPr>
        <w:i w:val="1"/>
        <w:iCs w:val="1"/>
        <w:sz w:val="22"/>
        <w:szCs w:val="22"/>
        <w:rtl w:val="0"/>
      </w:rPr>
      <w:t xml:space="preserve"> ––––––––––––––––––––––––––––––––  </w:t>
    </w:r>
    <w:r w:rsidDel="00000000" w:rsidR="00000000" w:rsidRPr="00000000">
      <w:rPr>
        <w:b w:val="1"/>
        <w:bCs w:val="1"/>
        <w:i w:val="1"/>
        <w:i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rtl w:val="0"/>
      </w:rPr>
      <w:t xml:space="preserve"> / </w:t>
    </w:r>
    <w:r w:rsidDel="00000000" w:rsidR="00000000" w:rsidRPr="00000000">
      <w:rPr>
        <w:b w:val="1"/>
        <w:bCs w:val="1"/>
        <w:i w:val="1"/>
        <w:iCs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center" w:leader="none" w:pos="4153"/>
        <w:tab w:val="right" w:leader="none" w:pos="8306"/>
      </w:tabs>
      <w:jc w:val="center"/>
      <w:rPr>
        <w:i w:val="1"/>
        <w:iCs w:val="1"/>
        <w:sz w:val="18"/>
        <w:szCs w:val="18"/>
      </w:rPr>
    </w:pPr>
    <w:bookmarkStart w:colFirst="0" w:colLast="0" w:name="_heading=h.e2h0gqqphccs" w:id="4"/>
    <w:bookmarkEnd w:id="4"/>
    <w:r w:rsidDel="00000000" w:rsidR="00000000" w:rsidRPr="00000000">
      <w:rPr>
        <w:i w:val="1"/>
        <w:iCs w:val="1"/>
        <w:sz w:val="18"/>
        <w:szCs w:val="18"/>
        <w:rtl w:val="0"/>
      </w:rPr>
      <w:t xml:space="preserve"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color="000000" w:space="3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206549" cy="512302"/>
          <wp:effectExtent b="0" l="0" r="0" t="0"/>
          <wp:docPr id="16183074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6549" cy="5123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2585720</wp:posOffset>
          </wp:positionH>
          <wp:positionV relativeFrom="paragraph">
            <wp:posOffset>5715</wp:posOffset>
          </wp:positionV>
          <wp:extent cx="970738" cy="426178"/>
          <wp:effectExtent b="0" l="0" r="0" t="0"/>
          <wp:wrapNone/>
          <wp:docPr id="16183074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0738" cy="4261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3899535</wp:posOffset>
          </wp:positionH>
          <wp:positionV relativeFrom="paragraph">
            <wp:posOffset>-85088</wp:posOffset>
          </wp:positionV>
          <wp:extent cx="2307590" cy="571500"/>
          <wp:effectExtent b="0" l="0" r="0" t="0"/>
          <wp:wrapNone/>
          <wp:docPr descr="C:\Users\h.yordanov\Documents\ПНИИДИТ\Лого ЕС\headers_logos\headers\single\ppniidit_logo_left_aligned_Text.png" id="1618307426" name="image3.png"/>
          <a:graphic>
            <a:graphicData uri="http://schemas.openxmlformats.org/drawingml/2006/picture">
              <pic:pic>
                <pic:nvPicPr>
                  <pic:cNvPr descr="C:\Users\h.yordanov\Documents\ПНИИДИТ\Лого ЕС\headers_logos\headers\single\ppniidit_logo_left_aligned_Text.png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759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0"/>
      </w:tabs>
      <w:spacing w:after="0" w:before="20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СИИМ «ЛЕОНАРДО ДА ВИНЧИ»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.0000000000000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Balloon Text"/>
    <w:basedOn w:val="1"/>
    <w:link w:val="14"/>
    <w:uiPriority w:val="0"/>
    <w:qFormat w:val="1"/>
    <w:rPr>
      <w:rFonts w:ascii="Segoe UI" w:cs="Segoe UI" w:hAnsi="Segoe UI"/>
      <w:sz w:val="18"/>
      <w:szCs w:val="18"/>
    </w:rPr>
  </w:style>
  <w:style w:type="paragraph" w:styleId="5">
    <w:name w:val="footer"/>
    <w:basedOn w:val="1"/>
    <w:link w:val="11"/>
    <w:uiPriority w:val="99"/>
    <w:qFormat w:val="1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5"/>
    <w:uiPriority w:val="0"/>
    <w:qFormat w:val="1"/>
    <w:pPr>
      <w:tabs>
        <w:tab w:val="center" w:pos="4536"/>
        <w:tab w:val="right" w:pos="9072"/>
      </w:tabs>
    </w:pPr>
  </w:style>
  <w:style w:type="character" w:styleId="7">
    <w:name w:val="Hyperlink"/>
    <w:basedOn w:val="2"/>
    <w:uiPriority w:val="0"/>
    <w:qFormat w:val="1"/>
    <w:rPr>
      <w:color w:val="0000ff"/>
      <w:u w:val="single"/>
    </w:rPr>
  </w:style>
  <w:style w:type="character" w:styleId="8">
    <w:name w:val="page number"/>
    <w:basedOn w:val="2"/>
    <w:uiPriority w:val="0"/>
    <w:qFormat w:val="1"/>
  </w:style>
  <w:style w:type="table" w:styleId="9">
    <w:name w:val="Table Grid"/>
    <w:basedOn w:val="3"/>
    <w:uiPriority w:val="0"/>
    <w:qFormat w:val="1"/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0" w:customStyle="1">
    <w:name w:val="Char Char Char Char Char Char Char"/>
    <w:basedOn w:val="1"/>
    <w:uiPriority w:val="0"/>
    <w:qFormat w:val="1"/>
    <w:pPr>
      <w:tabs>
        <w:tab w:val="left" w:pos="709"/>
      </w:tabs>
    </w:pPr>
    <w:rPr>
      <w:rFonts w:ascii="Tahoma" w:hAnsi="Tahoma"/>
      <w:lang w:eastAsia="pl-PL" w:val="pl-PL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11" w:customStyle="1">
    <w:name w:val="Footer Char"/>
    <w:link w:val="5"/>
    <w:uiPriority w:val="99"/>
    <w:qFormat w:val="1"/>
    <w:rPr>
      <w:lang w:bidi="ar-SA" w:eastAsia="en-US" w:val="en-GB"/>
    </w:rPr>
  </w:style>
  <w:style w:type="paragraph" w:styleId="12" w:customStyle="1">
    <w:name w:val="Default"/>
    <w:uiPriority w:val="0"/>
    <w:qFormat w:val="1"/>
    <w:pPr>
      <w:autoSpaceDE w:val="0"/>
      <w:autoSpaceDN w:val="0"/>
      <w:adjustRightInd w:val="0"/>
    </w:pPr>
    <w:rPr>
      <w:rFonts w:ascii="Times New Roman" w:cs="Times New Roman" w:eastAsia="MS Mincho" w:hAnsi="Times New Roman"/>
      <w:color w:val="000000"/>
      <w:sz w:val="24"/>
      <w:szCs w:val="24"/>
      <w:lang w:bidi="ar-SA" w:eastAsia="bg-BG" w:val="bg-BG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Balloon Text Char"/>
    <w:basedOn w:val="2"/>
    <w:link w:val="4"/>
    <w:uiPriority w:val="0"/>
    <w:qFormat w:val="1"/>
    <w:rPr>
      <w:rFonts w:ascii="Segoe UI" w:cs="Segoe UI" w:hAnsi="Segoe UI"/>
      <w:sz w:val="18"/>
      <w:szCs w:val="18"/>
      <w:lang w:eastAsia="en-US"/>
    </w:rPr>
  </w:style>
  <w:style w:type="character" w:styleId="15" w:customStyle="1">
    <w:name w:val="Header Char"/>
    <w:basedOn w:val="2"/>
    <w:link w:val="6"/>
    <w:uiPriority w:val="0"/>
    <w:qFormat w:val="1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dzD3BYC9UFe9VcPM3Gq3Qm4XA==">CgMxLjAyDmguejE5c29xc2QydHZmMg5oLmQ1dHltdzcyZ3BsdTIOaC4zNm44dWM4Y2lrYTQyDmguMmIyajUxM25zZzFpMg5oLmUyaDBncXFwaGNjczgAciExdGYwR21oVHpQR2plNzk2R2J5SHVsVWE2X2kxWENjdW0=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2025-03-09T18:14:00Z</dcterms:created>
  <dc:creator>r.mitev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1033-12.2.0.21931</vt:lpwstr>
  </property>
  <property fmtid="{D5CDD505-2E9C-101B-9397-08002B2CF9AE}" pid="4" name="ICV">
    <vt:lpwstr>160BD20C8E9C4737B31A31E838AFE6F7_13</vt:lpwstr>
  </property>
</Properties>
</file>