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hd w:val="clear" w:fill="FFFFFF"/>
        <w:ind w:firstLine="567"/>
        <w:jc w:val="both"/>
        <w:rPr>
          <w:color w:val="414141"/>
          <w:sz w:val="24"/>
          <w:szCs w:val="24"/>
        </w:rPr>
      </w:pPr>
    </w:p>
    <w:p w14:paraId="00000002">
      <w:pPr>
        <w:widowControl w:val="0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bookmarkStart w:id="0" w:name="_heading=h.hdyw0adj3up9" w:colFirst="0" w:colLast="0"/>
      <w:bookmarkEnd w:id="0"/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Ръководството на Сдружение с нестопанска цел „Институт за изследователска подкрепа“ (ИИП) – партньор по проект BG16RF PR002-1.014-0002</w:t>
      </w:r>
      <w:r>
        <w:rPr>
          <w:rFonts w:ascii="Times New Roman" w:hAnsi="Times New Roman" w:eastAsia="Times New Roman" w:cs="Times New Roman"/>
          <w:i/>
          <w:iCs/>
          <w:color w:val="auto"/>
          <w:sz w:val="24"/>
          <w:szCs w:val="24"/>
          <w:rtl w:val="0"/>
        </w:rPr>
        <w:t xml:space="preserve">  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„Център за компетентност по персонализирана медицина, 3Д и  телемедицина, роботизирана и минимално инвазивна хирургия“, финансиран от Програма „Научни изследвания, иновации и дигитализация за интелигентна трансформация“, съфинансирано от Европейския съюз, и Ръководството на проекта, в изпълнение на нормативно изискване от административен договор по проекта, относно необходимостта да се извърши подбор чрез провеждане на открити конкурси и сключване на трудови договори за определени длъжности в ИИП на проекта с лица, които не са били предмет на извършени предварителни оценки в проектното предложение,  </w:t>
      </w:r>
    </w:p>
    <w:p w14:paraId="00000003">
      <w:pPr>
        <w:shd w:val="clear" w:fill="FFFFFF"/>
        <w:ind w:firstLine="567"/>
        <w:jc w:val="center"/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</w:rPr>
      </w:pPr>
    </w:p>
    <w:p w14:paraId="00000004">
      <w:pPr>
        <w:shd w:val="clear" w:fill="FFFFFF"/>
        <w:ind w:firstLine="567"/>
        <w:jc w:val="center"/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</w:rPr>
      </w:pPr>
    </w:p>
    <w:p w14:paraId="00000005">
      <w:pPr>
        <w:shd w:val="clear" w:fill="FFFFFF"/>
        <w:ind w:firstLine="567"/>
        <w:jc w:val="center"/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>ОБЯВЯВА КОНКУРС</w:t>
      </w:r>
    </w:p>
    <w:p w14:paraId="00000006">
      <w:pPr>
        <w:shd w:val="clear" w:fill="FFFFFF"/>
        <w:ind w:firstLine="567"/>
        <w:jc w:val="center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14:paraId="00000007">
      <w:pPr>
        <w:ind w:firstLine="567"/>
        <w:jc w:val="center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за назначаване на екип от учени, изследователи и сътрудници в основен партньор по проекта „Институт за изследователска подкрепа“ (ИИП), Работен пакет 2 (РП2) </w:t>
      </w:r>
    </w:p>
    <w:p w14:paraId="00000008">
      <w:pPr>
        <w:ind w:firstLine="567"/>
        <w:jc w:val="center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„Персонализирана медицина - Прецизна патология и онкогенетика“, за срока на административния договор по проекта до 31.12.2029 год. на длъжност </w:t>
      </w:r>
    </w:p>
    <w:p w14:paraId="00000009">
      <w:pPr>
        <w:ind w:firstLine="567"/>
        <w:jc w:val="center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>„Изследовател без образователна и научна степен (ОНС) “Доктор”, R1”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 </w:t>
      </w:r>
    </w:p>
    <w:p w14:paraId="0000000A">
      <w:pPr>
        <w:ind w:firstLine="567"/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</w:rPr>
      </w:pPr>
    </w:p>
    <w:p w14:paraId="0000000B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3" w:right="0" w:firstLine="56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Кратко описание на длъжността:</w:t>
      </w:r>
    </w:p>
    <w:p w14:paraId="0000000C">
      <w:pPr>
        <w:numPr>
          <w:ilvl w:val="1"/>
          <w:numId w:val="2"/>
        </w:numPr>
        <w:shd w:val="clear" w:fill="FFFFFF"/>
        <w:tabs>
          <w:tab w:val="left" w:pos="-3544"/>
          <w:tab w:val="left" w:pos="709"/>
          <w:tab w:val="left" w:pos="993"/>
          <w:tab w:val="left" w:pos="1276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Извършва научни изследвания и дейности във връзка с изискванията на РП2, „Персонализирана медицина - Прецизна патология и онкогенетика“;</w:t>
      </w:r>
    </w:p>
    <w:p w14:paraId="0000000D">
      <w:pPr>
        <w:numPr>
          <w:ilvl w:val="1"/>
          <w:numId w:val="2"/>
        </w:numPr>
        <w:shd w:val="clear" w:fill="FFFFFF"/>
        <w:tabs>
          <w:tab w:val="left" w:pos="-3544"/>
          <w:tab w:val="left" w:pos="709"/>
          <w:tab w:val="left" w:pos="993"/>
          <w:tab w:val="left" w:pos="1276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Участва в разработването и реализирането на оригинални научни изследвания в областта на синтеза на нови органични съединения. </w:t>
      </w:r>
    </w:p>
    <w:p w14:paraId="0000000E">
      <w:pPr>
        <w:numPr>
          <w:ilvl w:val="1"/>
          <w:numId w:val="2"/>
        </w:numPr>
        <w:shd w:val="clear" w:fill="FFFFFF"/>
        <w:tabs>
          <w:tab w:val="left" w:pos="-3544"/>
          <w:tab w:val="left" w:pos="709"/>
          <w:tab w:val="left" w:pos="993"/>
          <w:tab w:val="left" w:pos="1276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Прави разчети във връзка с направените изследвания, оформя и отчита резултатите и съставя техническата документация за изпълнените работи по целите на проекта;</w:t>
      </w:r>
    </w:p>
    <w:p w14:paraId="0000000F">
      <w:pPr>
        <w:numPr>
          <w:ilvl w:val="1"/>
          <w:numId w:val="2"/>
        </w:numPr>
        <w:tabs>
          <w:tab w:val="left" w:pos="-3544"/>
          <w:tab w:val="left" w:pos="709"/>
          <w:tab w:val="left" w:pos="993"/>
          <w:tab w:val="left" w:pos="1276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Проектиране на синтетични стратегии и оптимизиране на процеси за получаване на целеви молекули;</w:t>
      </w:r>
    </w:p>
    <w:p w14:paraId="00000010">
      <w:pPr>
        <w:numPr>
          <w:ilvl w:val="1"/>
          <w:numId w:val="2"/>
        </w:numPr>
        <w:tabs>
          <w:tab w:val="left" w:pos="-3544"/>
          <w:tab w:val="left" w:pos="709"/>
          <w:tab w:val="left" w:pos="993"/>
          <w:tab w:val="left" w:pos="1276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Възможност за работа със специализирана химична апаратура и прибори - в това число извършване на реакции в инертна среда и работа с чувствителни химикали;</w:t>
      </w:r>
    </w:p>
    <w:p w14:paraId="00000011">
      <w:pPr>
        <w:numPr>
          <w:ilvl w:val="1"/>
          <w:numId w:val="2"/>
        </w:numPr>
        <w:tabs>
          <w:tab w:val="left" w:pos="-3544"/>
          <w:tab w:val="left" w:pos="709"/>
          <w:tab w:val="left" w:pos="993"/>
          <w:tab w:val="left" w:pos="1276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Извършва дейности в срок и обем, съгласно изискванията на РП2, „Персонализирана медицина - Прецизна патология и онкогенетика“, научния ръководител и ръководителя на РП2. </w:t>
      </w:r>
    </w:p>
    <w:p w14:paraId="00000012">
      <w:pPr>
        <w:numPr>
          <w:ilvl w:val="1"/>
          <w:numId w:val="2"/>
        </w:numPr>
        <w:tabs>
          <w:tab w:val="left" w:pos="-3544"/>
          <w:tab w:val="left" w:pos="709"/>
          <w:tab w:val="left" w:pos="993"/>
          <w:tab w:val="left" w:pos="1276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Подпомага водещите изследователи и изследователите с научна степен в процеса на постигане на резултатите от научната програма на проекта;</w:t>
      </w:r>
    </w:p>
    <w:p w14:paraId="00000013">
      <w:pPr>
        <w:numPr>
          <w:ilvl w:val="1"/>
          <w:numId w:val="2"/>
        </w:numPr>
        <w:tabs>
          <w:tab w:val="left" w:pos="-3544"/>
          <w:tab w:val="left" w:pos="709"/>
          <w:tab w:val="left" w:pos="993"/>
          <w:tab w:val="left" w:pos="1276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Прилагане на съвременни методи за доказване на структурата на органични съединения - ИЧ спектроскопия, ЯМР спектроскопия, масспектрометрия и хроматография.</w:t>
      </w:r>
    </w:p>
    <w:p w14:paraId="00000014">
      <w:pPr>
        <w:numPr>
          <w:ilvl w:val="1"/>
          <w:numId w:val="2"/>
        </w:numPr>
        <w:tabs>
          <w:tab w:val="left" w:pos="-3544"/>
          <w:tab w:val="left" w:pos="709"/>
          <w:tab w:val="left" w:pos="993"/>
          <w:tab w:val="left" w:pos="1276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u w:val="no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Познаване на методи за теоретично предсказване на свойствата и очакваната биологична активност на органични съединения - DFT моделиране и молекулен докинг и умение за интерпретация на данните от тях.</w:t>
      </w:r>
    </w:p>
    <w:p w14:paraId="00000015">
      <w:pPr>
        <w:numPr>
          <w:ilvl w:val="1"/>
          <w:numId w:val="2"/>
        </w:numPr>
        <w:tabs>
          <w:tab w:val="left" w:pos="-3544"/>
          <w:tab w:val="left" w:pos="709"/>
          <w:tab w:val="left" w:pos="993"/>
          <w:tab w:val="left" w:pos="1276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u w:val="no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Умения за работа със специализиран софтуер за обработка на данни - OriginPro, GraphPad, TopSpin и ChemDraw.</w:t>
      </w:r>
    </w:p>
    <w:p w14:paraId="00000016">
      <w:pPr>
        <w:numPr>
          <w:ilvl w:val="1"/>
          <w:numId w:val="2"/>
        </w:numPr>
        <w:tabs>
          <w:tab w:val="left" w:pos="-3544"/>
          <w:tab w:val="left" w:pos="709"/>
          <w:tab w:val="left" w:pos="993"/>
          <w:tab w:val="left" w:pos="1276"/>
        </w:tabs>
        <w:ind w:left="0"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  <w:u w:val="no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Участие в планирането и интерпретирането на биологични тестове -  in vitro и in vivo.</w:t>
      </w:r>
    </w:p>
    <w:p w14:paraId="00000017">
      <w:pPr>
        <w:tabs>
          <w:tab w:val="left" w:pos="-3544"/>
          <w:tab w:val="left" w:pos="709"/>
          <w:tab w:val="left" w:pos="993"/>
          <w:tab w:val="left" w:pos="1276"/>
        </w:tabs>
        <w:ind w:left="2275" w:firstLine="0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14:paraId="00000018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3" w:right="0" w:firstLine="56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Заетост: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 xml:space="preserve"> непълен работен ден - 2 часа на ден.</w:t>
      </w:r>
    </w:p>
    <w:p w14:paraId="00000019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567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</w:p>
    <w:p w14:paraId="0000001A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3" w:right="0" w:firstLine="56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Минимални изисквания за заемане на длъжността:</w:t>
      </w:r>
    </w:p>
    <w:p w14:paraId="0000001B">
      <w:pPr>
        <w:keepNext w:val="0"/>
        <w:keepLines w:val="0"/>
        <w:pageBreakBefore w:val="0"/>
        <w:widowControl/>
        <w:numPr>
          <w:ilvl w:val="1"/>
          <w:numId w:val="1"/>
        </w:num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858" w:right="0" w:hanging="258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Образование – Висше; </w:t>
      </w:r>
    </w:p>
    <w:p w14:paraId="0000001C">
      <w:pPr>
        <w:keepNext w:val="0"/>
        <w:keepLines w:val="0"/>
        <w:pageBreakBefore w:val="0"/>
        <w:widowControl/>
        <w:numPr>
          <w:ilvl w:val="1"/>
          <w:numId w:val="1"/>
        </w:num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858" w:right="0" w:hanging="258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Образователно-квалификационна степен - “Магистър”</w:t>
      </w:r>
    </w:p>
    <w:p w14:paraId="0000001D">
      <w:pPr>
        <w:numPr>
          <w:ilvl w:val="1"/>
          <w:numId w:val="1"/>
        </w:numPr>
        <w:pBdr>
          <w:top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ind w:left="858" w:hanging="258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Професионални направления “Медицина”, „Химически науки“, “Фармация”; </w:t>
      </w:r>
    </w:p>
    <w:p w14:paraId="0000001E">
      <w:pPr>
        <w:numPr>
          <w:ilvl w:val="1"/>
          <w:numId w:val="1"/>
        </w:numPr>
        <w:pBdr>
          <w:top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ind w:left="858" w:hanging="258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Ключов научен персонал – „Изследовател без образователна и научна степен (ОНС) “Доктор”, R1“.</w:t>
      </w:r>
    </w:p>
    <w:p w14:paraId="0000001F">
      <w:pPr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ind w:left="560" w:firstLine="0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 </w:t>
      </w:r>
    </w:p>
    <w:p w14:paraId="00000020">
      <w:pPr>
        <w:pBdr>
          <w:top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tabs>
          <w:tab w:val="left" w:pos="993"/>
        </w:tabs>
        <w:ind w:left="540" w:firstLine="0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>4. Специфични изисквания за обявената длъжност.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 </w:t>
      </w:r>
    </w:p>
    <w:p w14:paraId="00000021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4.1. Да отговаря ни изискванията за категория изследователи „Учен без ОНС “Доктор”, R1“</w:t>
      </w:r>
    </w:p>
    <w:p w14:paraId="00000022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4.2. Способност за провеждане на изследвания и анализи под надзор, насочени към основните методически постановки и похвати за събиране и обработване на първична информация;</w:t>
      </w:r>
    </w:p>
    <w:p w14:paraId="00000023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4.3. Развиване на знания в конкретната предметна област, насочени към методологиите и дисциплината на научните изследвания;</w:t>
      </w:r>
    </w:p>
    <w:p w14:paraId="00000024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4.4. Притежаване на способности за формулиране, критичен анализ, оценка и синтез на нови и относително сложни идеи;</w:t>
      </w:r>
    </w:p>
    <w:p w14:paraId="00000025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4.5. Налични възможности за обяснение на резултатите от изследването и тяхната стойност на други колеги от научните изследвания, провеждани в Работен пакет 2.</w:t>
      </w:r>
    </w:p>
    <w:p w14:paraId="00000026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4.6. Анализи и изследвания, на основните методически постановки и похвати за събиране и обработване на първична информация за целите и задачите в РП2;</w:t>
      </w:r>
    </w:p>
    <w:p w14:paraId="00000027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4.7. Познаване на методите за анализ и експерименти, провеждани в лаборатория и опит в провеждането на експериментални изследвания в медицината;</w:t>
      </w:r>
    </w:p>
    <w:p w14:paraId="00000028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4.8. Извършване на дейности подпомагащи водещите изследователи, установените изследователи  и изследователите с научна степен;</w:t>
      </w:r>
    </w:p>
    <w:p w14:paraId="00000029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>4.9. Работа в екип със съответни компютърни и комуникативни умения;</w:t>
      </w:r>
    </w:p>
    <w:p w14:paraId="0000002A">
      <w:pPr>
        <w:tabs>
          <w:tab w:val="left" w:pos="993"/>
        </w:tabs>
        <w:ind w:firstLine="567"/>
        <w:jc w:val="both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p w14:paraId="0000002B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60" w:right="0" w:firstLine="241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>5.</w:t>
      </w: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Конкурсът с допуснатите кандидати ще се проведе на два етапа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:</w:t>
      </w:r>
    </w:p>
    <w:p w14:paraId="0000002C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600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5.1. Проверка на подадените от кандидатите документи;</w:t>
      </w:r>
    </w:p>
    <w:p w14:paraId="0000002D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600" w:right="0" w:firstLine="0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5.2. Интервю с кандидатите, допуснати за участие в конкурса.</w:t>
      </w:r>
    </w:p>
    <w:p w14:paraId="0000002E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0" w:right="0" w:firstLine="56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</w:p>
    <w:p w14:paraId="0000002F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60" w:right="0" w:firstLine="241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 xml:space="preserve">6.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Необходими документи за участие в конкурсната процедура:</w:t>
      </w:r>
    </w:p>
    <w:p w14:paraId="00000030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200" w:right="0" w:firstLine="398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6.1.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Заявление по образец;</w:t>
      </w:r>
    </w:p>
    <w:p w14:paraId="00000031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200" w:right="0" w:firstLine="398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6.2.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 xml:space="preserve"> Автобиография (CV);</w:t>
      </w:r>
    </w:p>
    <w:p w14:paraId="00000032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200" w:right="0" w:firstLine="398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6.3.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Копие от документ</w:t>
      </w:r>
      <w:bookmarkStart w:id="3" w:name="_GoBack"/>
      <w:bookmarkEnd w:id="3"/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и за придобити образователни степени и допълнителна професионална квалификация и/или специализации (ако има такива);</w:t>
      </w:r>
    </w:p>
    <w:p w14:paraId="00000033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200" w:right="0" w:firstLine="398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6.4.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Документ за самоличност – необходим само за идентификация и справка.</w:t>
      </w:r>
    </w:p>
    <w:p w14:paraId="00000034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0" w:right="0" w:firstLine="567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</w:p>
    <w:p w14:paraId="00000035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851"/>
        </w:tabs>
        <w:spacing w:before="0" w:after="0" w:line="240" w:lineRule="auto"/>
        <w:ind w:left="360" w:right="0" w:firstLine="241"/>
        <w:jc w:val="both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 xml:space="preserve">7.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Място и срок за подаване на документите за участие в конкурса:</w:t>
      </w:r>
    </w:p>
    <w:p w14:paraId="00000036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252" w:right="0" w:firstLine="345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7.1.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Документите за участие в конкурса се представят в: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 xml:space="preserve"> пет работни дни,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считани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 xml:space="preserve">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от публикуване на обявлението в сайта на ЦК, във времето от 8:00 часа до 12:30 ч. и от 13:00 ч. до 16:30 ч., на адрес: гр. Плевен, Офис на проекта, ул. “Климент Охридски“ №1, Ректорат, етаж 2, стая №208, лично от кандидатите или техни упълномощени представители.</w:t>
      </w:r>
    </w:p>
    <w:p w14:paraId="00000037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252" w:right="0" w:firstLine="345"/>
        <w:jc w:val="both"/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7.2. 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Краен срок за подаване на документите: 24.0</w:t>
      </w:r>
      <w:r>
        <w:rPr>
          <w:rFonts w:ascii="Times New Roman" w:hAnsi="Times New Roman" w:eastAsia="Times New Roman" w:cs="Times New Roman"/>
          <w:b/>
          <w:bCs/>
          <w:color w:val="auto"/>
          <w:sz w:val="24"/>
          <w:szCs w:val="24"/>
          <w:rtl w:val="0"/>
        </w:rPr>
        <w:t>3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>.2026 г.</w:t>
      </w:r>
    </w:p>
    <w:p w14:paraId="00000038">
      <w:pPr>
        <w:keepNext w:val="0"/>
        <w:keepLines w:val="0"/>
        <w:pageBreakBefore w:val="0"/>
        <w:widowControl/>
        <w:pBdr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between w:val="none" w:color="000000" w:sz="0" w:space="0"/>
        </w:pBdr>
        <w:shd w:val="clear" w:fill="FFFFFF"/>
        <w:tabs>
          <w:tab w:val="left" w:pos="993"/>
        </w:tabs>
        <w:spacing w:before="0" w:after="0" w:line="240" w:lineRule="auto"/>
        <w:ind w:left="252" w:right="0" w:firstLine="345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</w:rPr>
      </w:pPr>
      <w:bookmarkStart w:id="1" w:name="_heading=h.a9rgifekc3bu" w:colFirst="0" w:colLast="0"/>
      <w:bookmarkEnd w:id="1"/>
      <w:r>
        <w:rPr>
          <w:rFonts w:ascii="Times New Roman" w:hAnsi="Times New Roman" w:eastAsia="Times New Roman" w:cs="Times New Roman"/>
          <w:color w:val="auto"/>
          <w:sz w:val="24"/>
          <w:szCs w:val="24"/>
          <w:rtl w:val="0"/>
        </w:rPr>
        <w:t xml:space="preserve">7.3.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auto"/>
          <w:sz w:val="24"/>
          <w:szCs w:val="24"/>
          <w:u w:val="none"/>
          <w:shd w:val="clear" w:fill="auto"/>
          <w:vertAlign w:val="baseline"/>
          <w:rtl w:val="0"/>
        </w:rPr>
        <w:t xml:space="preserve">Допълнителна информация и уточнения във връзка с изискванията за провеждането на конкурсната процедура може да се получат на телефон 0877726494. </w:t>
      </w:r>
    </w:p>
    <w:p w14:paraId="00000039">
      <w:pPr>
        <w:ind w:firstLine="567"/>
        <w:rPr>
          <w:rFonts w:ascii="Times New Roman" w:hAnsi="Times New Roman" w:eastAsia="Times New Roman" w:cs="Times New Roman"/>
          <w:color w:val="auto"/>
          <w:sz w:val="24"/>
          <w:szCs w:val="24"/>
        </w:rPr>
      </w:pPr>
    </w:p>
    <w:sectPr>
      <w:headerReference r:id="rId4" w:type="first"/>
      <w:footerReference r:id="rId6" w:type="first"/>
      <w:headerReference r:id="rId3" w:type="default"/>
      <w:footerReference r:id="rId5" w:type="default"/>
      <w:pgSz w:w="11906" w:h="16838"/>
      <w:pgMar w:top="1134" w:right="851" w:bottom="1134" w:left="1134" w:header="454" w:footer="454" w:gutter="0"/>
      <w:pgNumType w:start="1"/>
      <w:cols w:space="720" w:num="1"/>
      <w:titlePg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3A765C13-160E-4546-94DF-724CA082C159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60A25947-0E12-42F7-B838-04693D3167D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26B9771F-D3F3-4D78-8333-050363F597E8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DB6C2671-0250-45D1-8816-A738F8C43050}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  <w:embedRegular r:id="rId5" w:fontKey="{B423757D-C8DA-4AEC-B147-1CE4F1B7613B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6" w:fontKey="{F2971627-B3C9-41E6-89D7-BFCA00929BF9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3E">
    <w:pPr>
      <w:tabs>
        <w:tab w:val="center" w:pos="4153"/>
        <w:tab w:val="right" w:pos="8306"/>
        <w:tab w:val="right" w:pos="9638"/>
      </w:tabs>
      <w:jc w:val="center"/>
      <w:rPr>
        <w:i/>
        <w:iCs/>
      </w:rPr>
    </w:pPr>
    <w:r>
      <w:rPr>
        <w:rtl w:val="0"/>
      </w:rPr>
      <w:t>–––––––––––––––––––––––––––––––––––––––</w:t>
    </w:r>
    <w:r>
      <w:rPr>
        <w:i/>
        <w:iCs/>
        <w:rtl w:val="0"/>
      </w:rPr>
      <w:t xml:space="preserve"> </w:t>
    </w:r>
    <w:r>
      <w:fldChar w:fldCharType="begin"/>
    </w:r>
    <w:r>
      <w:instrText xml:space="preserve"> HYPERLINK "http://www.eufunds.bg" \h </w:instrText>
    </w:r>
    <w:r>
      <w:fldChar w:fldCharType="separate"/>
    </w:r>
    <w:r>
      <w:rPr>
        <w:i/>
        <w:iCs/>
        <w:color w:val="0000FF"/>
        <w:sz w:val="22"/>
        <w:szCs w:val="22"/>
        <w:rtl w:val="0"/>
      </w:rPr>
      <w:t>www.eufunds.bg</w:t>
    </w:r>
    <w:r>
      <w:rPr>
        <w:i/>
        <w:iCs/>
        <w:color w:val="0000FF"/>
        <w:sz w:val="22"/>
        <w:szCs w:val="22"/>
        <w:rtl w:val="0"/>
      </w:rPr>
      <w:fldChar w:fldCharType="end"/>
    </w:r>
    <w:r>
      <w:rPr>
        <w:i/>
        <w:iCs/>
        <w:sz w:val="22"/>
        <w:szCs w:val="22"/>
        <w:rtl w:val="0"/>
      </w:rPr>
      <w:t xml:space="preserve"> ––––––––––––––––––––––––––––––––  </w:t>
    </w:r>
    <w:r>
      <w:rPr>
        <w:b/>
        <w:bCs/>
        <w:i/>
        <w:iCs/>
      </w:rPr>
      <w:fldChar w:fldCharType="begin"/>
    </w:r>
    <w:r>
      <w:rPr>
        <w:b/>
        <w:bCs/>
        <w:i/>
        <w:iCs/>
      </w:rPr>
      <w:instrText xml:space="preserve">PAGE</w:instrText>
    </w:r>
    <w:r>
      <w:rPr>
        <w:b/>
        <w:bCs/>
        <w:i/>
        <w:iCs/>
      </w:rPr>
      <w:fldChar w:fldCharType="separate"/>
    </w:r>
    <w:r>
      <w:rPr>
        <w:b/>
        <w:bCs/>
        <w:i/>
        <w:iCs/>
      </w:rPr>
      <w:fldChar w:fldCharType="end"/>
    </w:r>
    <w:r>
      <w:rPr>
        <w:i/>
        <w:iCs/>
        <w:rtl w:val="0"/>
      </w:rPr>
      <w:t xml:space="preserve"> / </w:t>
    </w:r>
    <w:r>
      <w:rPr>
        <w:b/>
        <w:bCs/>
        <w:i/>
        <w:iCs/>
      </w:rPr>
      <w:fldChar w:fldCharType="begin"/>
    </w:r>
    <w:r>
      <w:rPr>
        <w:b/>
        <w:bCs/>
        <w:i/>
        <w:iCs/>
      </w:rPr>
      <w:instrText xml:space="preserve">NUMPAGES</w:instrText>
    </w:r>
    <w:r>
      <w:rPr>
        <w:b/>
        <w:bCs/>
        <w:i/>
        <w:iCs/>
      </w:rPr>
      <w:fldChar w:fldCharType="separate"/>
    </w:r>
    <w:r>
      <w:rPr>
        <w:b/>
        <w:bCs/>
        <w:i/>
        <w:iCs/>
      </w:rPr>
      <w:fldChar w:fldCharType="end"/>
    </w:r>
  </w:p>
  <w:p w14:paraId="0000003F">
    <w:pPr>
      <w:tabs>
        <w:tab w:val="center" w:pos="4153"/>
        <w:tab w:val="right" w:pos="8306"/>
      </w:tabs>
      <w:jc w:val="center"/>
      <w:rPr>
        <w:i/>
        <w:iCs/>
        <w:sz w:val="18"/>
        <w:szCs w:val="18"/>
      </w:rPr>
    </w:pPr>
    <w:r>
      <w:rPr>
        <w:i/>
        <w:iCs/>
        <w:sz w:val="18"/>
        <w:szCs w:val="18"/>
        <w:rtl w:val="0"/>
      </w:rPr>
      <w:t>Проект BG16RFPR002-1.014-0002  „Център за компетентност по персонализирана медицина, 3Д и телемедицина, роботизирана и минималноинвазивна хирургия“,  финансиран от Оперативна програма „Научни изследвания, иновации и дигитализация за интелигентна трансформация“, съфинансирано от Европейския съюз.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3C">
    <w:pPr>
      <w:tabs>
        <w:tab w:val="center" w:pos="4153"/>
        <w:tab w:val="right" w:pos="8306"/>
        <w:tab w:val="right" w:pos="9638"/>
      </w:tabs>
      <w:jc w:val="center"/>
      <w:rPr>
        <w:i/>
        <w:iCs/>
      </w:rPr>
    </w:pPr>
    <w:r>
      <w:rPr>
        <w:rtl w:val="0"/>
      </w:rPr>
      <w:t>–––––––––––––––––––––––––––––––––––––––</w:t>
    </w:r>
    <w:r>
      <w:rPr>
        <w:i/>
        <w:iCs/>
        <w:rtl w:val="0"/>
      </w:rPr>
      <w:t xml:space="preserve"> </w:t>
    </w:r>
    <w:r>
      <w:fldChar w:fldCharType="begin"/>
    </w:r>
    <w:r>
      <w:instrText xml:space="preserve"> HYPERLINK "http://www.eufunds.bg" \h </w:instrText>
    </w:r>
    <w:r>
      <w:fldChar w:fldCharType="separate"/>
    </w:r>
    <w:r>
      <w:rPr>
        <w:i/>
        <w:iCs/>
        <w:color w:val="0000FF"/>
        <w:sz w:val="22"/>
        <w:szCs w:val="22"/>
        <w:rtl w:val="0"/>
      </w:rPr>
      <w:t>www.eufunds.bg</w:t>
    </w:r>
    <w:r>
      <w:rPr>
        <w:i/>
        <w:iCs/>
        <w:color w:val="0000FF"/>
        <w:sz w:val="22"/>
        <w:szCs w:val="22"/>
        <w:rtl w:val="0"/>
      </w:rPr>
      <w:fldChar w:fldCharType="end"/>
    </w:r>
    <w:r>
      <w:rPr>
        <w:i/>
        <w:iCs/>
        <w:sz w:val="22"/>
        <w:szCs w:val="22"/>
        <w:rtl w:val="0"/>
      </w:rPr>
      <w:t xml:space="preserve"> ––––––––––––––––––––––––––––––––  </w:t>
    </w:r>
    <w:r>
      <w:rPr>
        <w:b/>
        <w:bCs/>
        <w:i/>
        <w:iCs/>
      </w:rPr>
      <w:fldChar w:fldCharType="begin"/>
    </w:r>
    <w:r>
      <w:rPr>
        <w:b/>
        <w:bCs/>
        <w:i/>
        <w:iCs/>
      </w:rPr>
      <w:instrText xml:space="preserve">PAGE</w:instrText>
    </w:r>
    <w:r>
      <w:rPr>
        <w:b/>
        <w:bCs/>
        <w:i/>
        <w:iCs/>
      </w:rPr>
      <w:fldChar w:fldCharType="separate"/>
    </w:r>
    <w:r>
      <w:rPr>
        <w:b/>
        <w:bCs/>
        <w:i/>
        <w:iCs/>
      </w:rPr>
      <w:fldChar w:fldCharType="end"/>
    </w:r>
    <w:r>
      <w:rPr>
        <w:i/>
        <w:iCs/>
        <w:rtl w:val="0"/>
      </w:rPr>
      <w:t xml:space="preserve"> / </w:t>
    </w:r>
    <w:r>
      <w:rPr>
        <w:b/>
        <w:bCs/>
        <w:i/>
        <w:iCs/>
      </w:rPr>
      <w:fldChar w:fldCharType="begin"/>
    </w:r>
    <w:r>
      <w:rPr>
        <w:b/>
        <w:bCs/>
        <w:i/>
        <w:iCs/>
      </w:rPr>
      <w:instrText xml:space="preserve">NUMPAGES</w:instrText>
    </w:r>
    <w:r>
      <w:rPr>
        <w:b/>
        <w:bCs/>
        <w:i/>
        <w:iCs/>
      </w:rPr>
      <w:fldChar w:fldCharType="separate"/>
    </w:r>
    <w:r>
      <w:rPr>
        <w:b/>
        <w:bCs/>
        <w:i/>
        <w:iCs/>
      </w:rPr>
      <w:fldChar w:fldCharType="end"/>
    </w:r>
  </w:p>
  <w:p w14:paraId="0000003D">
    <w:pPr>
      <w:tabs>
        <w:tab w:val="center" w:pos="4153"/>
        <w:tab w:val="right" w:pos="8306"/>
      </w:tabs>
      <w:jc w:val="center"/>
      <w:rPr>
        <w:i/>
        <w:iCs/>
        <w:sz w:val="18"/>
        <w:szCs w:val="18"/>
      </w:rPr>
    </w:pPr>
    <w:bookmarkStart w:id="2" w:name="_heading=h.mmqlsvjpa7hh" w:colFirst="0" w:colLast="0"/>
    <w:bookmarkEnd w:id="2"/>
    <w:r>
      <w:rPr>
        <w:i/>
        <w:iCs/>
        <w:sz w:val="18"/>
        <w:szCs w:val="18"/>
        <w:rtl w:val="0"/>
      </w:rPr>
      <w:t>Проект BG16RFPR002-1.014-0002  „Център за компетентност по персонализирана медицина, 3Д и телемедицина, роботизирана и минималноинвазивна хирургия“,  финансиран от Оперативна програма „Научни изследвания, иновации и дигитализация за интелигентна трансформация“, съфинансирано от Европейския съюз.</w: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3B">
    <w:pPr>
      <w:keepNext w:val="0"/>
      <w:keepLines w:val="0"/>
      <w:widowControl/>
      <w:pBdr>
        <w:top w:val="none" w:color="000000" w:sz="0" w:space="0"/>
        <w:left w:val="none" w:color="000000" w:sz="0" w:space="0"/>
        <w:bottom w:val="single" w:color="A6A6A6" w:sz="4" w:space="1"/>
        <w:right w:val="none" w:color="000000" w:sz="0" w:space="0"/>
        <w:between w:val="none" w:color="000000" w:sz="0" w:space="0"/>
      </w:pBdr>
      <w:shd w:val="clear" w:fill="auto"/>
      <w:tabs>
        <w:tab w:val="center" w:pos="4536"/>
        <w:tab w:val="right" w:pos="9072"/>
      </w:tabs>
      <w:spacing w:before="0" w:after="0" w:line="240" w:lineRule="auto"/>
      <w:ind w:left="0" w:right="0" w:firstLine="0"/>
      <w:jc w:val="left"/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20"/>
        <w:szCs w:val="20"/>
        <w:u w:val="none"/>
        <w:shd w:val="clear" w:fill="auto"/>
        <w:vertAlign w:val="baseline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3A">
    <w:pPr>
      <w:keepNext w:val="0"/>
      <w:keepLines w:val="0"/>
      <w:widowControl/>
      <w:pBdr>
        <w:top w:val="none" w:color="000000" w:sz="0" w:space="0"/>
        <w:left w:val="none" w:color="000000" w:sz="0" w:space="0"/>
        <w:bottom w:val="none" w:color="000000" w:sz="0" w:space="0"/>
        <w:right w:val="none" w:color="000000" w:sz="0" w:space="0"/>
        <w:between w:val="none" w:color="000000" w:sz="0" w:space="0"/>
      </w:pBdr>
      <w:shd w:val="clear" w:fill="auto"/>
      <w:tabs>
        <w:tab w:val="center" w:pos="4536"/>
        <w:tab w:val="right" w:pos="9072"/>
      </w:tabs>
      <w:spacing w:before="0" w:after="0" w:line="240" w:lineRule="auto"/>
      <w:ind w:left="0" w:right="0" w:firstLine="0"/>
      <w:jc w:val="left"/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20"/>
        <w:szCs w:val="20"/>
        <w:u w:val="none"/>
        <w:shd w:val="clear" w:fill="auto"/>
        <w:vertAlign w:val="baseline"/>
      </w:rPr>
    </w:pPr>
    <w:r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z w:val="20"/>
        <w:szCs w:val="20"/>
        <w:u w:val="none"/>
        <w:shd w:val="clear" w:fill="auto"/>
        <w:vertAlign w:val="baseline"/>
      </w:rPr>
      <w:drawing>
        <wp:inline distT="0" distB="0" distL="0" distR="0">
          <wp:extent cx="6299835" cy="985520"/>
          <wp:effectExtent l="0" t="0" r="0" b="0"/>
          <wp:docPr id="4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299835" cy="98552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decimal"/>
      <w:lvlText w:val="%1."/>
      <w:lvlJc w:val="left"/>
      <w:pPr>
        <w:ind w:left="1353" w:hanging="359"/>
      </w:pPr>
      <w:rPr>
        <w:b/>
        <w:bCs/>
      </w:rPr>
    </w:lvl>
    <w:lvl w:ilvl="1" w:tentative="0">
      <w:start w:val="1"/>
      <w:numFmt w:val="decimal"/>
      <w:lvlText w:val="%1.%2."/>
      <w:lvlJc w:val="left"/>
      <w:pPr>
        <w:ind w:left="2275" w:hanging="432"/>
      </w:pPr>
      <w:rPr>
        <w:b w:val="0"/>
        <w:bCs w:val="0"/>
      </w:rPr>
    </w:lvl>
    <w:lvl w:ilvl="2" w:tentative="0">
      <w:start w:val="1"/>
      <w:numFmt w:val="decimal"/>
      <w:lvlText w:val="%1.%2.%3."/>
      <w:lvlJc w:val="left"/>
      <w:pPr>
        <w:ind w:left="1224" w:hanging="504"/>
      </w:pPr>
    </w:lvl>
    <w:lvl w:ilvl="3" w:tentative="0">
      <w:start w:val="1"/>
      <w:numFmt w:val="decimal"/>
      <w:lvlText w:val="%1.%2.%3.%4."/>
      <w:lvlJc w:val="left"/>
      <w:pPr>
        <w:ind w:left="1728" w:hanging="647"/>
      </w:pPr>
    </w:lvl>
    <w:lvl w:ilvl="4" w:tentative="0">
      <w:start w:val="1"/>
      <w:numFmt w:val="decimal"/>
      <w:lvlText w:val="%1.%2.%3.%4.%5."/>
      <w:lvlJc w:val="left"/>
      <w:pPr>
        <w:ind w:left="2232" w:hanging="792"/>
      </w:pPr>
    </w:lvl>
    <w:lvl w:ilvl="5" w:tentative="0">
      <w:start w:val="1"/>
      <w:numFmt w:val="decimal"/>
      <w:lvlText w:val="%1.%2.%3.%4.%5.%6."/>
      <w:lvlJc w:val="left"/>
      <w:pPr>
        <w:ind w:left="2736" w:hanging="935"/>
      </w:pPr>
    </w:lvl>
    <w:lvl w:ilvl="6" w:tentative="0">
      <w:start w:val="1"/>
      <w:numFmt w:val="decimal"/>
      <w:lvlText w:val="%1.%2.%3.%4.%5.%6.%7."/>
      <w:lvlJc w:val="left"/>
      <w:pPr>
        <w:ind w:left="3240" w:hanging="1080"/>
      </w:pPr>
    </w:lvl>
    <w:lvl w:ilvl="7" w:tentative="0">
      <w:start w:val="1"/>
      <w:numFmt w:val="decimal"/>
      <w:lvlText w:val="%1.%2.%3.%4.%5.%6.%7.%8."/>
      <w:lvlJc w:val="left"/>
      <w:pPr>
        <w:ind w:left="3744" w:hanging="1224"/>
      </w:pPr>
    </w:lvl>
    <w:lvl w:ilvl="8" w:tentative="0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393" w:hanging="360"/>
      </w:pPr>
      <w:rPr>
        <w:b/>
        <w:bCs/>
        <w:sz w:val="24"/>
        <w:szCs w:val="24"/>
      </w:rPr>
    </w:lvl>
    <w:lvl w:ilvl="1" w:tentative="0">
      <w:start w:val="1"/>
      <w:numFmt w:val="decimal"/>
      <w:lvlText w:val="%1.%2."/>
      <w:lvlJc w:val="left"/>
      <w:pPr>
        <w:ind w:left="858" w:hanging="432"/>
      </w:pPr>
      <w:rPr>
        <w:b w:val="0"/>
        <w:bCs w:val="0"/>
        <w:sz w:val="24"/>
        <w:szCs w:val="24"/>
      </w:rPr>
    </w:lvl>
    <w:lvl w:ilvl="2" w:tentative="0">
      <w:start w:val="1"/>
      <w:numFmt w:val="decimal"/>
      <w:lvlText w:val="%1.%2.%3."/>
      <w:lvlJc w:val="left"/>
      <w:pPr>
        <w:ind w:left="1224" w:hanging="504"/>
      </w:pPr>
    </w:lvl>
    <w:lvl w:ilvl="3" w:tentative="0">
      <w:start w:val="1"/>
      <w:numFmt w:val="decimal"/>
      <w:lvlText w:val="%1.%2.%3.%4."/>
      <w:lvlJc w:val="left"/>
      <w:pPr>
        <w:ind w:left="1728" w:hanging="647"/>
      </w:pPr>
    </w:lvl>
    <w:lvl w:ilvl="4" w:tentative="0">
      <w:start w:val="1"/>
      <w:numFmt w:val="decimal"/>
      <w:lvlText w:val="%1.%2.%3.%4.%5."/>
      <w:lvlJc w:val="left"/>
      <w:pPr>
        <w:ind w:left="2232" w:hanging="792"/>
      </w:pPr>
    </w:lvl>
    <w:lvl w:ilvl="5" w:tentative="0">
      <w:start w:val="1"/>
      <w:numFmt w:val="decimal"/>
      <w:lvlText w:val="%1.%2.%3.%4.%5.%6."/>
      <w:lvlJc w:val="left"/>
      <w:pPr>
        <w:ind w:left="2736" w:hanging="934"/>
      </w:pPr>
    </w:lvl>
    <w:lvl w:ilvl="6" w:tentative="0">
      <w:start w:val="1"/>
      <w:numFmt w:val="decimal"/>
      <w:lvlText w:val="%1.%2.%3.%4.%5.%6.%7."/>
      <w:lvlJc w:val="left"/>
      <w:pPr>
        <w:ind w:left="3240" w:hanging="1080"/>
      </w:pPr>
    </w:lvl>
    <w:lvl w:ilvl="7" w:tentative="0">
      <w:start w:val="1"/>
      <w:numFmt w:val="decimal"/>
      <w:lvlText w:val="%1.%2.%3.%4.%5.%6.%7.%8."/>
      <w:lvlJc w:val="left"/>
      <w:pPr>
        <w:ind w:left="3744" w:hanging="1224"/>
      </w:pPr>
    </w:lvl>
    <w:lvl w:ilvl="8" w:tentative="0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compat>
    <w:compatSetting w:name="compatibilityMode" w:uri="http://schemas.microsoft.com/office/word" w:val="15"/>
  </w:compat>
  <w:rsids>
    <w:rsidRoot w:val="00000000"/>
    <w:rsid w:val="06BE458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iPriority="99" w:name="annotation text"/>
    <w:lsdException w:qFormat="1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iPriority="99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iPriority="99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rPr>
      <w:rFonts w:ascii="Calibri" w:hAnsi="Calibri" w:eastAsia="Calibri" w:cs="Calibri"/>
      <w:lang w:val="bg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26"/>
    <w:semiHidden/>
    <w:unhideWhenUsed/>
    <w:qFormat/>
    <w:uiPriority w:val="99"/>
    <w:rPr>
      <w:rFonts w:ascii="Segoe UI" w:hAnsi="Segoe UI" w:eastAsia="Calibri" w:cs="Segoe UI"/>
      <w:sz w:val="18"/>
      <w:szCs w:val="18"/>
      <w:lang w:val="bg"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paragraph" w:styleId="12">
    <w:name w:val="annotation text"/>
    <w:semiHidden/>
    <w:unhideWhenUsed/>
    <w:qFormat/>
    <w:uiPriority w:val="99"/>
    <w:rPr>
      <w:rFonts w:ascii="Calibri" w:hAnsi="Calibri" w:eastAsia="Calibri" w:cs="Calibri"/>
      <w:lang w:val="bg"/>
    </w:rPr>
  </w:style>
  <w:style w:type="character" w:styleId="13">
    <w:name w:val="Emphasis"/>
    <w:basedOn w:val="8"/>
    <w:qFormat/>
    <w:uiPriority w:val="20"/>
    <w:rPr>
      <w:i/>
      <w:iCs/>
    </w:rPr>
  </w:style>
  <w:style w:type="paragraph" w:styleId="14">
    <w:name w:val="footer"/>
    <w:link w:val="23"/>
    <w:qFormat/>
    <w:uiPriority w:val="0"/>
    <w:pPr>
      <w:tabs>
        <w:tab w:val="center" w:pos="4536"/>
        <w:tab w:val="right" w:pos="9072"/>
      </w:tabs>
      <w:overflowPunct/>
      <w:autoSpaceDE/>
      <w:autoSpaceDN/>
      <w:adjustRightInd/>
      <w:textAlignment w:val="auto"/>
    </w:pPr>
    <w:rPr>
      <w:rFonts w:ascii="Calibri" w:hAnsi="Calibri" w:eastAsia="Calibri" w:cs="Calibri"/>
      <w:sz w:val="24"/>
      <w:szCs w:val="24"/>
      <w:lang w:val="bg" w:eastAsia="bg-BG"/>
    </w:rPr>
  </w:style>
  <w:style w:type="paragraph" w:styleId="15">
    <w:name w:val="header"/>
    <w:link w:val="24"/>
    <w:unhideWhenUsed/>
    <w:qFormat/>
    <w:uiPriority w:val="0"/>
    <w:pPr>
      <w:tabs>
        <w:tab w:val="center" w:pos="4536"/>
        <w:tab w:val="right" w:pos="9072"/>
      </w:tabs>
    </w:pPr>
    <w:rPr>
      <w:rFonts w:ascii="Calibri" w:hAnsi="Calibri" w:eastAsia="Calibri" w:cs="Calibri"/>
      <w:lang w:val="bg"/>
    </w:rPr>
  </w:style>
  <w:style w:type="character" w:styleId="16">
    <w:name w:val="Hyperlink"/>
    <w:basedOn w:val="8"/>
    <w:qFormat/>
    <w:uiPriority w:val="0"/>
    <w:rPr>
      <w:color w:val="0000FF"/>
      <w:u w:val="single"/>
    </w:rPr>
  </w:style>
  <w:style w:type="paragraph" w:styleId="17">
    <w:name w:val="Normal (Web)"/>
    <w:semiHidden/>
    <w:unhideWhenUsed/>
    <w:qFormat/>
    <w:uiPriority w:val="99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rFonts w:ascii="Calibri" w:hAnsi="Calibri" w:eastAsia="Calibri" w:cs="Calibri"/>
      <w:sz w:val="24"/>
      <w:szCs w:val="24"/>
      <w:lang w:val="bg" w:eastAsia="bg-BG"/>
    </w:rPr>
  </w:style>
  <w:style w:type="character" w:styleId="18">
    <w:name w:val="Strong"/>
    <w:basedOn w:val="8"/>
    <w:qFormat/>
    <w:uiPriority w:val="22"/>
    <w:rPr>
      <w:b/>
      <w:bCs/>
    </w:rPr>
  </w:style>
  <w:style w:type="paragraph" w:styleId="19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20">
    <w:name w:val="Title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21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22">
    <w:name w:val="Heading 2 Char"/>
    <w:basedOn w:val="8"/>
    <w:qFormat/>
    <w:uiPriority w:val="9"/>
    <w:rPr>
      <w:rFonts w:eastAsia="Times New Roman"/>
      <w:b/>
      <w:bCs/>
      <w:sz w:val="36"/>
      <w:szCs w:val="36"/>
    </w:rPr>
  </w:style>
  <w:style w:type="character" w:customStyle="1" w:styleId="23">
    <w:name w:val="Footer Char"/>
    <w:basedOn w:val="8"/>
    <w:link w:val="14"/>
    <w:qFormat/>
    <w:uiPriority w:val="0"/>
    <w:rPr>
      <w:rFonts w:eastAsia="Times New Roman"/>
      <w:sz w:val="24"/>
      <w:szCs w:val="24"/>
      <w:lang w:eastAsia="bg-BG"/>
    </w:rPr>
  </w:style>
  <w:style w:type="character" w:customStyle="1" w:styleId="24">
    <w:name w:val="Header Char"/>
    <w:basedOn w:val="8"/>
    <w:link w:val="15"/>
    <w:qFormat/>
    <w:uiPriority w:val="0"/>
    <w:rPr>
      <w:rFonts w:eastAsia="Times New Roman"/>
    </w:rPr>
  </w:style>
  <w:style w:type="paragraph" w:styleId="25">
    <w:name w:val="List Paragraph"/>
    <w:qFormat/>
    <w:uiPriority w:val="34"/>
    <w:pPr>
      <w:ind w:left="720"/>
      <w:contextualSpacing/>
    </w:pPr>
    <w:rPr>
      <w:rFonts w:ascii="Calibri" w:hAnsi="Calibri" w:eastAsia="Calibri" w:cs="Calibri"/>
      <w:lang w:val="bg"/>
    </w:rPr>
  </w:style>
  <w:style w:type="character" w:customStyle="1" w:styleId="26">
    <w:name w:val="Balloon Text Char"/>
    <w:basedOn w:val="8"/>
    <w:link w:val="10"/>
    <w:semiHidden/>
    <w:qFormat/>
    <w:uiPriority w:val="99"/>
    <w:rPr>
      <w:rFonts w:ascii="Segoe UI" w:hAnsi="Segoe UI" w:eastAsia="Times New Roman" w:cs="Segoe UI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numbering" Target="numbering.xml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kIjnnvLG9Lp8wH3u1EdzvZgGong==">CgMxLjAyDmguaGR5dzBhZGozdXA5Mg5oLmE5cmdpZmVrYzNidTIOaC5tbXFsc3ZqcGE3aGg4AHIhMTA4eVVxNV9LLVRwUnJIZ242WDZNTEtjUGFUb0o4RGpB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2025-06-25T11:25:00Z</dcterms:created>
  <dc:creator>user</dc:creator>
  <cp:lastModifiedBy>WPS_1711442021</cp:lastModifiedBy>
  <dcterms:modified xsi:type="dcterms:W3CDTF">2026-03-18T05:15:32Z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51B5BBCACA9E4455BC226DBE60F1ABE0_13</vt:lpwstr>
  </property>
</Properties>
</file>