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 w:val="0"/>
        <w:spacing w:line="276" w:lineRule="auto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Ръководството на Сдружение с нестопанска цел „Сдружение за изследвания и иновации в медицината - Леонардо да Винчи“ (СИИМ) – партньор по проект BG16RFPR002-1.014-0002</w:t>
      </w:r>
      <w:r>
        <w:rPr>
          <w:rFonts w:hint="default" w:ascii="Times New Roman" w:hAnsi="Times New Roman" w:cs="Times New Roman"/>
          <w:i/>
          <w:iCs/>
          <w:color w:val="auto"/>
          <w:sz w:val="24"/>
          <w:szCs w:val="24"/>
          <w:rtl w:val="0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 xml:space="preserve">„Център за компетентност по персонализирана медицина, 3Д и  телемедицина, роботизирана и минимално инвазивна хирургия“, финансиран от Програма „Научни изследвания, иновации и дигитализация за интелигентна трансформация“, съфинансирана от Европейския съюз, и Ръководството на проекта, в изпълнение на нормативно изискване от административен договор по проекта, относно необходимостта да се извърши подбор чрез провеждане на открити конкурси и сключване на трудови договори за определени длъжности в СИИМ на проекта с лица, които не са били предмет на извършени предварителни оценки в проектното предложение,  </w:t>
      </w:r>
      <w:bookmarkStart w:id="2" w:name="_GoBack"/>
      <w:bookmarkEnd w:id="2"/>
    </w:p>
    <w:p w14:paraId="00000002">
      <w:pPr>
        <w:keepNext w:val="0"/>
        <w:keepLines w:val="0"/>
        <w:pageBreakBefore w:val="0"/>
        <w:shd w:val="clear" w:fill="FFFFFF"/>
        <w:spacing w:line="276" w:lineRule="auto"/>
        <w:ind w:firstLine="567"/>
        <w:jc w:val="center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</w:p>
    <w:p w14:paraId="00000003">
      <w:pPr>
        <w:keepNext w:val="0"/>
        <w:keepLines w:val="0"/>
        <w:pageBreakBefore w:val="0"/>
        <w:shd w:val="clear" w:fill="FFFFFF"/>
        <w:spacing w:line="276" w:lineRule="auto"/>
        <w:ind w:firstLine="567"/>
        <w:jc w:val="center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</w:p>
    <w:p w14:paraId="00000004">
      <w:pPr>
        <w:keepNext w:val="0"/>
        <w:keepLines w:val="0"/>
        <w:pageBreakBefore w:val="0"/>
        <w:shd w:val="clear" w:fill="FFFFFF"/>
        <w:spacing w:line="276" w:lineRule="auto"/>
        <w:ind w:firstLine="567"/>
        <w:jc w:val="center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rtl w:val="0"/>
        </w:rPr>
        <w:t>ОБЯВЯВА КОНКУРС</w:t>
      </w:r>
    </w:p>
    <w:p w14:paraId="00000005">
      <w:pPr>
        <w:keepNext w:val="0"/>
        <w:keepLines w:val="0"/>
        <w:pageBreakBefore w:val="0"/>
        <w:shd w:val="clear" w:fill="FFFFFF"/>
        <w:spacing w:line="276" w:lineRule="auto"/>
        <w:ind w:firstLine="567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00000006">
      <w:pPr>
        <w:keepNext w:val="0"/>
        <w:keepLines w:val="0"/>
        <w:pageBreakBefore w:val="0"/>
        <w:spacing w:line="276" w:lineRule="auto"/>
        <w:ind w:firstLine="567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за назначаване в</w:t>
      </w:r>
      <w:r>
        <w:rPr>
          <w:rFonts w:hint="default" w:ascii="Times New Roman" w:hAnsi="Times New Roman" w:cs="Times New Roman"/>
          <w:color w:val="auto"/>
          <w:sz w:val="24"/>
          <w:szCs w:val="24"/>
          <w:shd w:val="clear" w:fill="auto"/>
          <w:rtl w:val="0"/>
        </w:rPr>
        <w:t xml:space="preserve"> екип 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 xml:space="preserve">за управление в основен партньор по проекта „Сдружение за изследвания и иновации в медицината - Леонардо да Винчи“ </w:t>
      </w:r>
    </w:p>
    <w:p w14:paraId="00000007">
      <w:pPr>
        <w:keepNext w:val="0"/>
        <w:keepLines w:val="0"/>
        <w:pageBreakBefore w:val="0"/>
        <w:spacing w:line="276" w:lineRule="auto"/>
        <w:ind w:firstLine="567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 xml:space="preserve">на длъжността </w:t>
      </w:r>
    </w:p>
    <w:p w14:paraId="00000008">
      <w:pPr>
        <w:keepNext w:val="0"/>
        <w:keepLines w:val="0"/>
        <w:pageBreakBefore w:val="0"/>
        <w:spacing w:line="276" w:lineRule="auto"/>
        <w:ind w:firstLine="567"/>
        <w:jc w:val="center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rtl w:val="0"/>
        </w:rPr>
        <w:t>„Експерт „Държавни помощи”</w:t>
      </w:r>
    </w:p>
    <w:p w14:paraId="00000009">
      <w:pPr>
        <w:keepNext w:val="0"/>
        <w:keepLines w:val="0"/>
        <w:pageBreakBefore w:val="0"/>
        <w:spacing w:line="276" w:lineRule="auto"/>
        <w:ind w:firstLine="567"/>
        <w:rPr>
          <w:rFonts w:hint="default" w:ascii="Times New Roman" w:hAnsi="Times New Roman" w:cs="Times New Roman"/>
          <w:b/>
          <w:bCs/>
          <w:color w:val="auto"/>
          <w:sz w:val="24"/>
          <w:szCs w:val="24"/>
        </w:rPr>
      </w:pPr>
    </w:p>
    <w:p w14:paraId="0000000A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Кратко описание на длъжността:</w:t>
      </w:r>
    </w:p>
    <w:p w14:paraId="043C034A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Отговаря за проследяването, документирането и отчитането на стопанската дейност на Центъра и подпомага правилното ѝ разграничаване от нестопанската дейност.</w:t>
      </w:r>
    </w:p>
    <w:p w14:paraId="22FA0F6E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Следи за прилагането на относимите правила за държавните помощи при осъществяване на дейностите на Центъра, включително при предоставяне на услуги, извършване на изследователска и развойна дейност, използване на инфраструктура и други дейности с икономически характер.</w:t>
      </w:r>
    </w:p>
    <w:p w14:paraId="3F330BF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Анализира характера на планирани и извършени дейности с оглед определяне дали същите представляват стопанска или нестопанска дейност и предоставя становища и препоръки на ръководството и на ръководителите на департаментите.</w:t>
      </w:r>
    </w:p>
    <w:p w14:paraId="48C13DA2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Следи за изготвянето, поддържането и актуализирането на дневници, регистри, справки и други отчетни документи, свързани с отчитането на стопанската и нестопанската дейност на Центъра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.</w:t>
      </w:r>
    </w:p>
    <w:p w14:paraId="4E2A1FA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Разработва, актуализира и поддържа образци, бланки, декларации, регистри, вътрешни правила и други документи, необходими за проследяване и отчитане на стопанската и нестопанската дейност.</w:t>
      </w:r>
    </w:p>
    <w:p w14:paraId="29171C2C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Дава методически указания и консултира ръководителите на работните пакети и техните екипи относно:</w:t>
      </w:r>
    </w:p>
    <w:p w14:paraId="66FBF9A3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- правилното документиране на извършваните дейности;</w:t>
      </w:r>
    </w:p>
    <w:p w14:paraId="7E07683E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- разграничаването на стопанска и нестопанска дейност;</w:t>
      </w:r>
    </w:p>
    <w:p w14:paraId="5C9F6281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- попълването и поддържането на отчетните документи;</w:t>
      </w:r>
    </w:p>
    <w:p w14:paraId="0D9248EA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- прилагането на правилата за държавните помощи;</w:t>
      </w:r>
    </w:p>
    <w:p w14:paraId="75A751E1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- събирането и съхраняването на необходимите доказателства и първични документи.</w:t>
      </w:r>
    </w:p>
    <w:p w14:paraId="6B24423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Изготвя доклади, справки и анализи за държавните помощи във връзка с изпълнението на Проект № BG16RFPR002-1.014-0002, съобразно приложимата нормативна уредба, условията за изпълнение на проекта и указанията на Изпълнителна агенция „Програма за образование“ и/или друг компетентен орган.</w:t>
      </w:r>
    </w:p>
    <w:p w14:paraId="4601774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Подпомага подготовката на информация и документи при проверки, верификации, одити и други контролни процедури, свързани с прилагането на правилата за държавните помощи и отчитането на стопанската дейност.</w:t>
      </w:r>
    </w:p>
    <w:p w14:paraId="616842A8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  <w:t>Подпомага процесите по определяне и актуализиране на цените на услугите и дейностите, предоставяни от Центъра, когато същите имат стопански характер.</w:t>
      </w:r>
    </w:p>
    <w:p w14:paraId="65C332C9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Участва в разработването и актуализирането на методики, правила, калкулации и други документи, свързани с ценообразуването, като следи за съответствието им с приложимите правила за държавните помощи и с вътрешните правила на Центъра.</w:t>
      </w:r>
    </w:p>
    <w:p w14:paraId="702CC738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Актуализира бланковите документи, свързани с ценообразуването, предоставянето на услуги и отчитането на стопанската дейност, и предоставя указания за правилното им прилагане.</w:t>
      </w:r>
    </w:p>
    <w:p w14:paraId="56485EB6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Анализира информацията за извършените дейности и предоставените услуги с оглед проследяване на приходите, разходите и други относими показатели за стопанската дейност на Центъра.</w:t>
      </w:r>
    </w:p>
    <w:p w14:paraId="73A11619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Изготвя периодични и текущи анализи, справки, отчети и доклади относно стопанската и нестопанската дейност, предоставяните услуги, приходите от стопанска дейност, прилагането на правилата за държавните помощи, ценообразуването и необходимостта от актуализиране на вътрешни процедури и документи.</w:t>
      </w:r>
    </w:p>
    <w:p w14:paraId="291632E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Участва в разработването и актуализирането на вътрешни правила и процедури за идентифициране и отчитане на стопанската и нестопанската дейност, ценообразуване, предоставяне на услуги и документиране на съответствието с правилата за държавните помощи.</w:t>
      </w:r>
    </w:p>
    <w:p w14:paraId="436903D2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858" w:leftChars="0" w:right="0" w:rightChars="0" w:hanging="432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Изпълнява и други задачи, възложени от ръководителя на Центъра, свързани с компетентността на длъжността.</w:t>
      </w:r>
    </w:p>
    <w:p w14:paraId="7EF95C8B">
      <w:pPr>
        <w:keepNext w:val="0"/>
        <w:keepLines w:val="0"/>
        <w:pageBreakBefore w:val="0"/>
        <w:widowControl/>
        <w:numPr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426" w:leftChars="0" w:right="0" w:rightChars="0"/>
        <w:jc w:val="both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bg-BG"/>
        </w:rPr>
      </w:pPr>
    </w:p>
    <w:p w14:paraId="00000021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left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bookmarkStart w:id="0" w:name="_heading=h.2b2j513nsg1i" w:colFirst="0" w:colLast="0"/>
      <w:bookmarkEnd w:id="0"/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Заетост: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непълен работен ден - 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4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часа на ден</w:t>
      </w:r>
    </w:p>
    <w:p w14:paraId="000000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567" w:right="0" w:firstLine="0"/>
        <w:jc w:val="left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</w:rPr>
      </w:pPr>
    </w:p>
    <w:p w14:paraId="00000023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Минимални изисквания за заемане на длъжността:</w:t>
      </w:r>
    </w:p>
    <w:p w14:paraId="00000024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Образование – Висше;</w:t>
      </w:r>
    </w:p>
    <w:p w14:paraId="0000002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Образователно-квалификационна степен – „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Магистър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”;</w:t>
      </w:r>
    </w:p>
    <w:p w14:paraId="00000026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Област на висше образование - </w:t>
      </w: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икономика, финанси, право, публична администрация, управление, счетоводство или друга релевантна област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27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cs="Times New Roman"/>
          <w:color w:val="auto"/>
          <w:u w:val="none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rtl w:val="0"/>
        </w:rPr>
        <w:t>Професионален опит - минимум 5 години стаж; управленски опит ще се счита за предимство.</w:t>
      </w:r>
    </w:p>
    <w:p w14:paraId="000000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858" w:right="0" w:firstLine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</w:rPr>
      </w:pPr>
    </w:p>
    <w:p w14:paraId="00000029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Конкурсът с допуснатите кандидати ще се проведе на два етапа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:</w:t>
      </w:r>
    </w:p>
    <w:p w14:paraId="0000002A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Проверка на подадените от кандидатите документи;</w:t>
      </w:r>
    </w:p>
    <w:p w14:paraId="0000002B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Интервю с кандидатите, допуснати за участие в конкурса.</w:t>
      </w:r>
    </w:p>
    <w:p w14:paraId="0000002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</w:rPr>
      </w:pPr>
    </w:p>
    <w:p w14:paraId="0000002D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Необходими документи за участие в конкурсната процедура:</w:t>
      </w:r>
    </w:p>
    <w:p w14:paraId="0000002E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Заявление по образец;</w:t>
      </w:r>
    </w:p>
    <w:p w14:paraId="0000002F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Автобиография (CV);</w:t>
      </w:r>
    </w:p>
    <w:p w14:paraId="00000030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Копие от документи за придобити образователни степени и допълнителна професионална квалификация и/или специализации (ако има такива);</w:t>
      </w:r>
    </w:p>
    <w:p w14:paraId="00000031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Документ за самоличност – необходим само за идентификация и справка.</w:t>
      </w:r>
    </w:p>
    <w:p w14:paraId="0000003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</w:rPr>
      </w:pPr>
    </w:p>
    <w:p w14:paraId="00000033">
      <w:pPr>
        <w:keepNext w:val="0"/>
        <w:keepLines w:val="0"/>
        <w:pageBreakBefore w:val="0"/>
        <w:widowControl/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851"/>
        </w:tabs>
        <w:spacing w:before="0" w:after="0" w:line="276" w:lineRule="auto"/>
        <w:ind w:left="0" w:right="0" w:firstLine="567"/>
        <w:jc w:val="both"/>
        <w:rPr>
          <w:rFonts w:hint="default"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Място и срок за подаване на документите за участие в конкурса:</w:t>
      </w:r>
    </w:p>
    <w:p w14:paraId="00000034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Документите за участие в конкурса се представят в: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 пет работни дни,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считани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от публикуване на обявлението в сайта на ЦК, във времето от 8:00 часа до 12:30 ч. и от 13:00 ч. до 16:30 ч., на адрес: гр. Плевен, Офис на проекта, ул. “Климент Охридски“ №1,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Ректорат, етаж 2, стая № 208, лично от кандидатите или техни упълномощени представители. </w:t>
      </w:r>
    </w:p>
    <w:p w14:paraId="00000035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Краен срок за подаване на документите: </w:t>
      </w:r>
      <w:r>
        <w:rPr>
          <w:b/>
          <w:bCs/>
          <w:color w:val="auto"/>
          <w:sz w:val="24"/>
          <w:szCs w:val="24"/>
          <w:rtl w:val="0"/>
        </w:rPr>
        <w:t>07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.</w:t>
      </w:r>
      <w:r>
        <w:rPr>
          <w:b/>
          <w:bCs/>
          <w:color w:val="auto"/>
          <w:sz w:val="24"/>
          <w:szCs w:val="24"/>
          <w:rtl w:val="0"/>
        </w:rPr>
        <w:t>08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.202</w:t>
      </w:r>
      <w:r>
        <w:rPr>
          <w:b/>
          <w:bCs/>
          <w:color w:val="auto"/>
          <w:sz w:val="24"/>
          <w:szCs w:val="24"/>
          <w:rtl w:val="0"/>
        </w:rPr>
        <w:t>6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 г. включително.</w:t>
      </w:r>
    </w:p>
    <w:p w14:paraId="00000036">
      <w:pPr>
        <w:keepNext w:val="0"/>
        <w:keepLines w:val="0"/>
        <w:pageBreakBefore w:val="0"/>
        <w:widowControl/>
        <w:numPr>
          <w:ilvl w:val="1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tabs>
          <w:tab w:val="left" w:pos="993"/>
        </w:tabs>
        <w:spacing w:before="0" w:after="0" w:line="276" w:lineRule="auto"/>
        <w:ind w:left="0" w:right="0" w:firstLine="567"/>
        <w:jc w:val="both"/>
        <w:rPr>
          <w:rFonts w:ascii="Times New Roman" w:hAnsi="Times New Roman" w:eastAsia="Times New Roman" w:cs="Times New Roman"/>
          <w:i w:val="0"/>
          <w:iCs w:val="0"/>
          <w:smallCaps w:val="0"/>
          <w:strike w:val="0"/>
          <w:color w:val="auto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>Допълнителна информация и уточнения във връзка с изискванията за провеждането на конкурсната процедура може да се получат на телефон 0</w:t>
      </w:r>
      <w:r>
        <w:rPr>
          <w:color w:val="auto"/>
          <w:sz w:val="24"/>
          <w:szCs w:val="24"/>
          <w:rtl w:val="0"/>
        </w:rPr>
        <w:t>877 726494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auto"/>
          <w:sz w:val="24"/>
          <w:szCs w:val="24"/>
          <w:u w:val="none"/>
          <w:shd w:val="clear" w:fill="auto"/>
          <w:vertAlign w:val="baseline"/>
          <w:rtl w:val="0"/>
        </w:rPr>
        <w:t xml:space="preserve">. </w:t>
      </w:r>
    </w:p>
    <w:p w14:paraId="00000037">
      <w:pPr>
        <w:keepNext w:val="0"/>
        <w:keepLines w:val="0"/>
        <w:pageBreakBefore w:val="0"/>
        <w:spacing w:line="276" w:lineRule="auto"/>
        <w:ind w:firstLine="567"/>
        <w:rPr>
          <w:sz w:val="24"/>
          <w:szCs w:val="24"/>
        </w:rPr>
      </w:pPr>
    </w:p>
    <w:p w14:paraId="00000038">
      <w:pPr>
        <w:keepNext w:val="0"/>
        <w:keepLines w:val="0"/>
        <w:pageBreakBefore w:val="0"/>
        <w:spacing w:line="276" w:lineRule="auto"/>
        <w:rPr>
          <w:sz w:val="24"/>
          <w:szCs w:val="24"/>
        </w:rPr>
      </w:pPr>
    </w:p>
    <w:p w14:paraId="00000039">
      <w:pPr>
        <w:keepNext w:val="0"/>
        <w:keepLines w:val="0"/>
        <w:pageBreakBefore w:val="0"/>
        <w:spacing w:line="276" w:lineRule="auto"/>
        <w:ind w:firstLine="708"/>
        <w:jc w:val="both"/>
        <w:rPr>
          <w:sz w:val="24"/>
          <w:szCs w:val="24"/>
        </w:rPr>
      </w:pPr>
    </w:p>
    <w:sectPr>
      <w:headerReference r:id="rId3" w:type="first"/>
      <w:footerReference r:id="rId6" w:type="first"/>
      <w:footerReference r:id="rId4" w:type="default"/>
      <w:footerReference r:id="rId5" w:type="even"/>
      <w:pgSz w:w="11906" w:h="16838"/>
      <w:pgMar w:top="709" w:right="851" w:bottom="567" w:left="1247" w:header="568" w:footer="454" w:gutter="0"/>
      <w:pgNumType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1" w:fontKey="{C853D428-41E1-4D30-8606-C32539C92B77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2" w:fontKey="{C1A90A60-4A25-4657-AB91-1822C7E387E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376A8E98-019D-4CF4-8125-3EB0747FAC0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4" w:fontKey="{8F7C6C98-8F5F-42A9-BA9A-69D9460416A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72828A3E-AE6A-4925-B9BC-637C69339646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6" w:fontKey="{B07B40AE-B132-49F6-A724-D477D9FDD8CE}"/>
  </w:font>
  <w:font w:name="MS Mincho">
    <w:altName w:val="Bukyvede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2311B179-5365-43D2-9FB2-F1F0D71F52E2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8" w:fontKey="{E271EBD2-9221-462A-90B7-F09E9EC091B7}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9" w:fontKey="{5C775938-BA63-48D0-9B07-9CFE448CC33E}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0" w:fontKey="{B1AD2DA2-D911-4969-B344-57B62E6AD12C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ukyvede">
    <w:panose1 w:val="02000400000000000000"/>
    <w:charset w:val="00"/>
    <w:family w:val="auto"/>
    <w:pitch w:val="default"/>
    <w:sig w:usb0="C40002C3" w:usb1="100000AC" w:usb2="00000000" w:usb3="00000000" w:csb0="00000004" w:csb1="02000000"/>
    <w:embedRegular r:id="rId11" w:fontKey="{462C9732-28CA-4995-A210-8AF72963FF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E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</w:p>
  <w:p w14:paraId="0000003F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  <w:tab w:val="right" w:pos="9638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  <w:rtl w:val="0"/>
      </w:rPr>
      <w:t>–––––––––––––––––––––––––––––––––––––––</w:t>
    </w: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 </w:t>
    </w:r>
    <w:r>
      <w:fldChar w:fldCharType="begin"/>
    </w:r>
    <w:r>
      <w:instrText xml:space="preserve"> HYPERLINK "http://www.eufunds.bg" \h </w:instrText>
    </w:r>
    <w:r>
      <w:fldChar w:fldCharType="separate"/>
    </w: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FF"/>
        <w:sz w:val="22"/>
        <w:szCs w:val="22"/>
        <w:u w:val="none"/>
        <w:shd w:val="clear" w:fill="auto"/>
        <w:vertAlign w:val="baseline"/>
        <w:rtl w:val="0"/>
      </w:rPr>
      <w:t>www.eufunds.bg</w:t>
    </w: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FF"/>
        <w:sz w:val="22"/>
        <w:szCs w:val="22"/>
        <w:u w:val="none"/>
        <w:shd w:val="clear" w:fill="auto"/>
        <w:vertAlign w:val="baseline"/>
        <w:rtl w:val="0"/>
      </w:rPr>
      <w:fldChar w:fldCharType="end"/>
    </w: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z w:val="22"/>
        <w:szCs w:val="22"/>
        <w:u w:val="none"/>
        <w:shd w:val="clear" w:fill="auto"/>
        <w:vertAlign w:val="baseline"/>
        <w:rtl w:val="0"/>
      </w:rPr>
      <w:t xml:space="preserve"> ––––––––––––––––––––––––––––––––     </w:t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  <w:rtl w:val="0"/>
      </w:rPr>
      <w:t xml:space="preserve"> / </w:t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NUMPAGES</w:instrText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/>
        <w:bCs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</w:p>
  <w:p w14:paraId="00000040">
    <w:pPr>
      <w:tabs>
        <w:tab w:val="center" w:pos="4153"/>
        <w:tab w:val="right" w:pos="8306"/>
      </w:tabs>
      <w:jc w:val="center"/>
      <w:rPr>
        <w:i/>
        <w:iCs/>
        <w:sz w:val="18"/>
        <w:szCs w:val="18"/>
      </w:rPr>
    </w:pPr>
    <w:r>
      <w:rPr>
        <w:i/>
        <w:iCs/>
        <w:sz w:val="18"/>
        <w:szCs w:val="18"/>
        <w:rtl w:val="0"/>
      </w:rPr>
      <w:t>Проект BG16RFPR002-1.014-0002 „Център за компетентност по персонализирана медицина, 3Д и  телемедицина, роботизирана и минимално инвазивна хирургия“,  финансиран от Програма „Научни изследвания, иновации и дигитализация за интелигентна трансформация“, съфинансиран</w:t>
    </w:r>
    <w:r>
      <w:rPr>
        <w:i/>
        <w:iCs/>
        <w:sz w:val="18"/>
        <w:szCs w:val="18"/>
        <w:rtl w:val="0"/>
        <w:lang w:val="bg-BG"/>
      </w:rPr>
      <w:t>а</w:t>
    </w:r>
    <w:r>
      <w:rPr>
        <w:i/>
        <w:iCs/>
        <w:sz w:val="18"/>
        <w:szCs w:val="18"/>
        <w:rtl w:val="0"/>
      </w:rPr>
      <w:t xml:space="preserve"> от Европейския съюз.</w:t>
    </w:r>
  </w:p>
  <w:p w14:paraId="00000041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center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4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begin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instrText xml:space="preserve">PAGE</w:instrText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separate"/>
    </w:r>
    <w: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fldChar w:fldCharType="end"/>
    </w:r>
  </w:p>
  <w:p w14:paraId="00000045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36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42">
    <w:pPr>
      <w:tabs>
        <w:tab w:val="center" w:pos="4153"/>
        <w:tab w:val="right" w:pos="8306"/>
        <w:tab w:val="right" w:pos="9638"/>
      </w:tabs>
      <w:jc w:val="center"/>
      <w:rPr>
        <w:i/>
        <w:iCs/>
      </w:rPr>
    </w:pPr>
    <w:r>
      <w:rPr>
        <w:rtl w:val="0"/>
      </w:rPr>
      <w:t>–––––––––––––––––––––––––––––––––––––––</w:t>
    </w:r>
    <w:r>
      <w:rPr>
        <w:i/>
        <w:iCs/>
        <w:rtl w:val="0"/>
      </w:rPr>
      <w:t xml:space="preserve"> </w:t>
    </w:r>
    <w:r>
      <w:fldChar w:fldCharType="begin"/>
    </w:r>
    <w:r>
      <w:instrText xml:space="preserve"> HYPERLINK "http://www.eufunds.bg" \h </w:instrText>
    </w:r>
    <w:r>
      <w:fldChar w:fldCharType="separate"/>
    </w:r>
    <w:r>
      <w:rPr>
        <w:i/>
        <w:iCs/>
        <w:color w:val="0000FF"/>
        <w:sz w:val="22"/>
        <w:szCs w:val="22"/>
        <w:rtl w:val="0"/>
      </w:rPr>
      <w:t>www.eufunds.bg</w:t>
    </w:r>
    <w:r>
      <w:rPr>
        <w:i/>
        <w:iCs/>
        <w:color w:val="0000FF"/>
        <w:sz w:val="22"/>
        <w:szCs w:val="22"/>
        <w:rtl w:val="0"/>
      </w:rPr>
      <w:fldChar w:fldCharType="end"/>
    </w:r>
    <w:r>
      <w:rPr>
        <w:i/>
        <w:iCs/>
        <w:sz w:val="22"/>
        <w:szCs w:val="22"/>
        <w:rtl w:val="0"/>
      </w:rPr>
      <w:t xml:space="preserve"> –––––––––––––––––––––––––––––––– 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PAGE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fldChar w:fldCharType="end"/>
    </w:r>
    <w:r>
      <w:rPr>
        <w:i/>
        <w:iCs/>
        <w:rtl w:val="0"/>
      </w:rPr>
      <w:t xml:space="preserve"> / </w:t>
    </w:r>
    <w:r>
      <w:rPr>
        <w:b/>
        <w:bCs/>
        <w:i/>
        <w:iCs/>
      </w:rPr>
      <w:fldChar w:fldCharType="begin"/>
    </w:r>
    <w:r>
      <w:rPr>
        <w:b/>
        <w:bCs/>
        <w:i/>
        <w:iCs/>
      </w:rPr>
      <w:instrText xml:space="preserve">NUMPAGES</w:instrText>
    </w:r>
    <w:r>
      <w:rPr>
        <w:b/>
        <w:bCs/>
        <w:i/>
        <w:iCs/>
      </w:rPr>
      <w:fldChar w:fldCharType="separate"/>
    </w:r>
    <w:r>
      <w:rPr>
        <w:b/>
        <w:bCs/>
        <w:i/>
        <w:iCs/>
      </w:rPr>
      <w:fldChar w:fldCharType="end"/>
    </w:r>
  </w:p>
  <w:p w14:paraId="00000043">
    <w:pPr>
      <w:tabs>
        <w:tab w:val="center" w:pos="4153"/>
        <w:tab w:val="right" w:pos="8306"/>
      </w:tabs>
      <w:jc w:val="center"/>
      <w:rPr>
        <w:i/>
        <w:iCs/>
        <w:sz w:val="18"/>
        <w:szCs w:val="18"/>
      </w:rPr>
    </w:pPr>
    <w:bookmarkStart w:id="1" w:name="_heading=h.e2h0gqqphccs" w:colFirst="0" w:colLast="0"/>
    <w:bookmarkEnd w:id="1"/>
    <w:r>
      <w:rPr>
        <w:i/>
        <w:iCs/>
        <w:sz w:val="18"/>
        <w:szCs w:val="18"/>
        <w:rtl w:val="0"/>
      </w:rPr>
      <w:t>Проект BG16RFPR002-1.014-0002 „Център за компетентност по персонализирана медицина, 3Д и  телемедицина, роботизирана и минимално инвазивна хирургия“,  финансиран от Програма „Научни изследвания, иновации и дигитализация за интелигентна трансформация“, съфинансиран</w:t>
    </w:r>
    <w:r>
      <w:rPr>
        <w:i/>
        <w:iCs/>
        <w:sz w:val="18"/>
        <w:szCs w:val="18"/>
        <w:rtl w:val="0"/>
        <w:lang w:val="bg-BG"/>
      </w:rPr>
      <w:t>а</w:t>
    </w:r>
    <w:r>
      <w:rPr>
        <w:i/>
        <w:iCs/>
        <w:sz w:val="18"/>
        <w:szCs w:val="18"/>
        <w:rtl w:val="0"/>
      </w:rPr>
      <w:t xml:space="preserve"> от Европейския съюз.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A">
    <w:pPr>
      <w:keepNext w:val="0"/>
      <w:keepLines w:val="0"/>
      <w:widowControl/>
      <w:pBdr>
        <w:top w:val="none" w:color="auto" w:sz="0" w:space="0"/>
        <w:left w:val="none" w:color="auto" w:sz="0" w:space="0"/>
        <w:bottom w:val="single" w:color="000000" w:sz="4" w:space="3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  <w:r>
      <w:rPr>
        <w:rFonts w:ascii="Times New Roman" w:hAnsi="Times New Roman" w:eastAsia="Times New Roman" w:cs="Times New Roman"/>
        <w:b w:val="0"/>
        <w:bCs w:val="0"/>
        <w:i/>
        <w:iCs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  <w:drawing>
        <wp:inline distT="0" distB="0" distL="0" distR="0">
          <wp:extent cx="2205990" cy="511810"/>
          <wp:effectExtent l="0" t="0" r="0" b="0"/>
          <wp:docPr id="16183074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307431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06549" cy="512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2585720</wp:posOffset>
          </wp:positionH>
          <wp:positionV relativeFrom="paragraph">
            <wp:posOffset>5715</wp:posOffset>
          </wp:positionV>
          <wp:extent cx="970915" cy="426085"/>
          <wp:effectExtent l="0" t="0" r="0" b="0"/>
          <wp:wrapNone/>
          <wp:docPr id="161830743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30743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0738" cy="426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3899535</wp:posOffset>
          </wp:positionH>
          <wp:positionV relativeFrom="paragraph">
            <wp:posOffset>-84455</wp:posOffset>
          </wp:positionV>
          <wp:extent cx="2307590" cy="571500"/>
          <wp:effectExtent l="0" t="0" r="0" b="0"/>
          <wp:wrapNone/>
          <wp:docPr id="1618307429" name="image3.png" descr="C:\Users\h.yordanov\Documents\ПНИИДИТ\Лого ЕС\headers_logos\headers\single\ppniidit_logo_left_aligned_Tex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8307429" name="image3.png" descr="C:\Users\h.yordanov\Documents\ПНИИДИТ\Лого ЕС\headers_logos\headers\single\ppniidit_logo_left_aligned_Text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59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00003B">
    <w:pPr>
      <w:keepNext w:val="0"/>
      <w:keepLines w:val="0"/>
      <w:widowControl/>
      <w:pBdr>
        <w:top w:val="none" w:color="auto" w:sz="0" w:space="0"/>
        <w:left w:val="none" w:color="auto" w:sz="0" w:space="0"/>
        <w:bottom w:val="single" w:color="000000" w:sz="4" w:space="1"/>
        <w:right w:val="none" w:color="auto" w:sz="0" w:space="0"/>
        <w:between w:val="none" w:color="auto" w:sz="0" w:space="0"/>
      </w:pBdr>
      <w:shd w:val="clear" w:fill="auto"/>
      <w:tabs>
        <w:tab w:val="center" w:pos="0"/>
        <w:tab w:val="center" w:pos="4536"/>
        <w:tab w:val="right" w:pos="9072"/>
      </w:tabs>
      <w:spacing w:before="200" w:after="0" w:line="240" w:lineRule="auto"/>
      <w:ind w:left="0" w:right="0" w:firstLine="0"/>
      <w:jc w:val="center"/>
      <w:rPr>
        <w:rFonts w:ascii="Arial Narrow" w:hAnsi="Arial Narrow" w:eastAsia="Arial Narrow" w:cs="Arial Narrow"/>
        <w:b/>
        <w:bCs/>
        <w:i w:val="0"/>
        <w:iCs w:val="0"/>
        <w:smallCaps w:val="0"/>
        <w:strike w:val="0"/>
        <w:color w:val="000000"/>
        <w:sz w:val="28"/>
        <w:szCs w:val="28"/>
        <w:u w:val="none"/>
        <w:shd w:val="clear" w:fill="auto"/>
        <w:vertAlign w:val="baseline"/>
      </w:rPr>
    </w:pPr>
    <w:r>
      <w:rPr>
        <w:rFonts w:ascii="Arial Narrow" w:hAnsi="Arial Narrow" w:eastAsia="Arial Narrow" w:cs="Arial Narrow"/>
        <w:b/>
        <w:bCs/>
        <w:i w:val="0"/>
        <w:iCs w:val="0"/>
        <w:smallCaps w:val="0"/>
        <w:strike w:val="0"/>
        <w:color w:val="000000"/>
        <w:sz w:val="28"/>
        <w:szCs w:val="28"/>
        <w:u w:val="none"/>
        <w:shd w:val="clear" w:fill="auto"/>
        <w:vertAlign w:val="baseline"/>
        <w:rtl w:val="0"/>
      </w:rPr>
      <w:t>СИИМ «ЛЕОНАРДО ДА ВИНЧИ»</w:t>
    </w:r>
  </w:p>
  <w:p w14:paraId="0000003C">
    <w:pPr>
      <w:keepNext w:val="0"/>
      <w:keepLines w:val="0"/>
      <w:widowControl/>
      <w:pBdr>
        <w:top w:val="none" w:color="auto" w:sz="0" w:space="0"/>
        <w:left w:val="none" w:color="auto" w:sz="0" w:space="0"/>
        <w:bottom w:val="single" w:color="000000" w:sz="4" w:space="1"/>
        <w:right w:val="none" w:color="auto" w:sz="0" w:space="0"/>
        <w:between w:val="none" w:color="auto" w:sz="0" w:space="0"/>
      </w:pBdr>
      <w:shd w:val="clear" w:fill="auto"/>
      <w:tabs>
        <w:tab w:val="center" w:pos="0"/>
        <w:tab w:val="center" w:pos="4536"/>
        <w:tab w:val="right" w:pos="9072"/>
      </w:tabs>
      <w:spacing w:before="0" w:after="0" w:line="240" w:lineRule="auto"/>
      <w:ind w:left="0" w:right="0" w:firstLine="0"/>
      <w:jc w:val="center"/>
      <w:rPr>
        <w:rFonts w:ascii="Arial Narrow" w:hAnsi="Arial Narrow" w:eastAsia="Arial Narrow" w:cs="Arial Narrow"/>
        <w:b/>
        <w:bCs/>
        <w:i w:val="0"/>
        <w:iCs w:val="0"/>
        <w:smallCaps w:val="0"/>
        <w:strike w:val="0"/>
        <w:color w:val="000000"/>
        <w:sz w:val="12"/>
        <w:szCs w:val="12"/>
        <w:u w:val="none"/>
        <w:shd w:val="clear" w:fill="auto"/>
        <w:vertAlign w:val="baseline"/>
      </w:rPr>
    </w:pPr>
  </w:p>
  <w:p w14:paraId="0000003D">
    <w:pPr>
      <w:keepNext w:val="0"/>
      <w:keepLines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tabs>
        <w:tab w:val="center" w:pos="4536"/>
        <w:tab w:val="right" w:pos="9072"/>
      </w:tabs>
      <w:spacing w:before="0" w:after="0" w:line="240" w:lineRule="auto"/>
      <w:ind w:left="0" w:right="0" w:firstLine="0"/>
      <w: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sz w:val="24"/>
        <w:szCs w:val="24"/>
      </w:r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7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5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7F5C47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lang w:val="bg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bCs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bCs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bCs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bCs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bCs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link w:val="23"/>
    <w:qFormat/>
    <w:uiPriority w:val="0"/>
    <w:rPr>
      <w:rFonts w:ascii="Segoe UI" w:hAnsi="Segoe UI" w:cs="Segoe UI"/>
      <w:sz w:val="18"/>
      <w:szCs w:val="18"/>
      <w:lang w:val="bg"/>
    </w:rPr>
  </w:style>
  <w:style w:type="paragraph" w:styleId="11">
    <w:name w:val="footer"/>
    <w:link w:val="20"/>
    <w:qFormat/>
    <w:uiPriority w:val="99"/>
    <w:pPr>
      <w:tabs>
        <w:tab w:val="center" w:pos="4536"/>
        <w:tab w:val="right" w:pos="9072"/>
      </w:tabs>
    </w:pPr>
    <w:rPr>
      <w:lang w:val="bg"/>
    </w:rPr>
  </w:style>
  <w:style w:type="paragraph" w:styleId="12">
    <w:name w:val="header"/>
    <w:link w:val="24"/>
    <w:qFormat/>
    <w:uiPriority w:val="0"/>
    <w:pPr>
      <w:tabs>
        <w:tab w:val="center" w:pos="4536"/>
        <w:tab w:val="right" w:pos="9072"/>
      </w:tabs>
    </w:pPr>
    <w:rPr>
      <w:lang w:val="bg"/>
    </w:rPr>
  </w:style>
  <w:style w:type="character" w:styleId="13">
    <w:name w:val="Hyperlink"/>
    <w:basedOn w:val="8"/>
    <w:qFormat/>
    <w:uiPriority w:val="0"/>
    <w:rPr>
      <w:color w:val="0000FF"/>
      <w:u w:val="single"/>
    </w:rPr>
  </w:style>
  <w:style w:type="character" w:styleId="14">
    <w:name w:val="page number"/>
    <w:basedOn w:val="8"/>
    <w:qFormat/>
    <w:uiPriority w:val="0"/>
  </w:style>
  <w:style w:type="paragraph" w:styleId="15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16">
    <w:name w:val="Table Grid"/>
    <w:basedOn w:val="9"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bCs/>
      <w:sz w:val="72"/>
      <w:szCs w:val="72"/>
    </w:rPr>
  </w:style>
  <w:style w:type="table" w:customStyle="1" w:styleId="18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9">
    <w:name w:val="Char Char Char Char Char Char Char"/>
    <w:qFormat/>
    <w:uiPriority w:val="0"/>
    <w:pPr>
      <w:tabs>
        <w:tab w:val="left" w:pos="709"/>
      </w:tabs>
    </w:pPr>
    <w:rPr>
      <w:rFonts w:ascii="Tahoma" w:hAnsi="Tahoma"/>
      <w:lang w:val="pl-PL" w:eastAsia="pl-PL"/>
      <w14:shadow w14:blurRad="50800" w14:dist="38100" w14:dir="2700000" w14:sx="100000" w14:sy="100000" w14:algn="tl">
        <w14:srgbClr w14:val="000000">
          <w14:alpha w14:val="60000"/>
        </w14:srgbClr>
      </w14:shadow>
    </w:rPr>
  </w:style>
  <w:style w:type="character" w:customStyle="1" w:styleId="20">
    <w:name w:val="Footer Char"/>
    <w:link w:val="11"/>
    <w:qFormat/>
    <w:uiPriority w:val="99"/>
    <w:rPr>
      <w:lang w:val="en-GB" w:eastAsia="en-US" w:bidi="ar-SA"/>
    </w:rPr>
  </w:style>
  <w:style w:type="paragraph" w:customStyle="1" w:styleId="2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MS Mincho" w:cs="Times New Roman"/>
      <w:color w:val="000000"/>
      <w:sz w:val="24"/>
      <w:szCs w:val="24"/>
      <w:lang w:val="bg-BG" w:eastAsia="bg-BG" w:bidi="ar-SA"/>
    </w:rPr>
  </w:style>
  <w:style w:type="paragraph" w:styleId="22">
    <w:name w:val="List Paragraph"/>
    <w:qFormat/>
    <w:uiPriority w:val="34"/>
    <w:pPr>
      <w:ind w:left="720"/>
      <w:contextualSpacing/>
    </w:pPr>
    <w:rPr>
      <w:lang w:val="bg"/>
    </w:rPr>
  </w:style>
  <w:style w:type="character" w:customStyle="1" w:styleId="23">
    <w:name w:val="Balloon Text Char"/>
    <w:basedOn w:val="8"/>
    <w:link w:val="10"/>
    <w:qFormat/>
    <w:uiPriority w:val="0"/>
    <w:rPr>
      <w:rFonts w:ascii="Segoe UI" w:hAnsi="Segoe UI" w:cs="Segoe UI"/>
      <w:sz w:val="18"/>
      <w:szCs w:val="18"/>
      <w:lang w:eastAsia="en-US"/>
    </w:rPr>
  </w:style>
  <w:style w:type="character" w:customStyle="1" w:styleId="24">
    <w:name w:val="Header Char"/>
    <w:basedOn w:val="8"/>
    <w:link w:val="12"/>
    <w:qFormat/>
    <w:uiPriority w:val="0"/>
    <w:rPr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H34x3nDGSE0Xy5q7u7UeSM1pUg==">CgMxLjAyDmguMmIyajUxM25zZzFpMg5oLmUyaDBncXFwaGNjczgAciExOFpzYWlqNWk1NHhWOXBKMU9USGprdUh6NjByQUVoZTc=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787</Words>
  <Characters>5057</Characters>
  <TotalTime>9</TotalTime>
  <ScaleCrop>false</ScaleCrop>
  <LinksUpToDate>false</LinksUpToDate>
  <CharactersWithSpaces>5813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2025-03-09T18:14:00Z</dcterms:created>
  <dc:creator>r.mitev</dc:creator>
  <cp:lastModifiedBy>WPS_1782468140</cp:lastModifiedBy>
  <dcterms:modified xsi:type="dcterms:W3CDTF">2026-10-02T10:46:30Z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KSOProductBuildVer">
    <vt:lpwstr>1033-12.1.0.28485</vt:lpwstr>
  </property>
  <property fmtid="{D5CDD505-2E9C-101B-9397-08002B2CF9AE}" pid="4" name="ICV">
    <vt:lpwstr>160BD20C8E9C4737B31A31E838AFE6F7_13</vt:lpwstr>
  </property>
  <property fmtid="{D5CDD505-2E9C-101B-9397-08002B2CF9AE}" pid="5" name="KSOTemplateDocerSaveRecord">
    <vt:lpwstr>eyJoZGlkIjoiMmVhYjIwYTFkMDUyN2RmOGI2OTNiMWRjYmY5MjBlYTUiLCJ1c2VySWQiOiI4NTIxMjE4MDg5NDczIn0=</vt:lpwstr>
  </property>
</Properties>
</file>